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5A" w:rsidRPr="00605C1B" w:rsidRDefault="009615CC" w:rsidP="009615CC">
      <w:pPr>
        <w:jc w:val="center"/>
        <w:rPr>
          <w:rStyle w:val="yiv7006000451bumpedfont15"/>
          <w:rFonts w:cstheme="minorHAnsi"/>
          <w:b/>
          <w:bCs/>
          <w:color w:val="3B3A40"/>
          <w:sz w:val="15"/>
          <w:szCs w:val="15"/>
          <w:shd w:val="clear" w:color="auto" w:fill="FFFFFF"/>
          <w:lang w:val="en-US"/>
        </w:rPr>
      </w:pPr>
      <w:r>
        <w:rPr>
          <w:rFonts w:cstheme="minorHAnsi"/>
          <w:b/>
          <w:bCs/>
          <w:noProof/>
          <w:color w:val="3B3A40"/>
          <w:sz w:val="15"/>
          <w:szCs w:val="15"/>
          <w:shd w:val="clear" w:color="auto" w:fill="FFFFFF"/>
        </w:rPr>
        <w:drawing>
          <wp:inline distT="0" distB="0" distL="0" distR="0">
            <wp:extent cx="2924173" cy="952500"/>
            <wp:effectExtent l="19050" t="0" r="0" b="0"/>
            <wp:docPr id="1" name="0 - Εικόνα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796" cy="95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826"/>
      </w:tblGrid>
      <w:tr w:rsidR="00F56F5A" w:rsidRPr="00605C1B" w:rsidTr="00207AF2">
        <w:trPr>
          <w:trHeight w:val="720"/>
        </w:trPr>
        <w:tc>
          <w:tcPr>
            <w:tcW w:w="1960" w:type="dxa"/>
          </w:tcPr>
          <w:p w:rsidR="00F56F5A" w:rsidRPr="00605C1B" w:rsidRDefault="00F56F5A">
            <w:pPr>
              <w:rPr>
                <w:rStyle w:val="yiv7006000451bumpedfont15"/>
                <w:rFonts w:cstheme="minorHAnsi"/>
                <w:b/>
                <w:bCs/>
                <w:color w:val="3B3A40"/>
                <w:sz w:val="15"/>
                <w:szCs w:val="15"/>
                <w:shd w:val="clear" w:color="auto" w:fill="FFFFFF"/>
                <w:lang w:val="en-US"/>
              </w:rPr>
            </w:pPr>
            <w:r w:rsidRPr="00605C1B">
              <w:rPr>
                <w:rStyle w:val="yiv7006000451bumpedfont15"/>
                <w:rFonts w:cstheme="minorHAnsi"/>
                <w:b/>
                <w:bCs/>
                <w:noProof/>
                <w:color w:val="3B3A40"/>
                <w:sz w:val="15"/>
                <w:szCs w:val="15"/>
                <w:shd w:val="clear" w:color="auto" w:fill="FFFFFF"/>
              </w:rPr>
              <w:drawing>
                <wp:inline distT="0" distB="0" distL="0" distR="0">
                  <wp:extent cx="942975" cy="695325"/>
                  <wp:effectExtent l="19050" t="0" r="9525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</w:tcPr>
          <w:p w:rsidR="00DC1B5C" w:rsidRPr="000B707D" w:rsidRDefault="00FF4B42" w:rsidP="005C0D86">
            <w:pPr>
              <w:spacing w:line="276" w:lineRule="auto"/>
              <w:jc w:val="right"/>
              <w:rPr>
                <w:rFonts w:eastAsia="Times New Roman" w:cstheme="minorHAnsi"/>
                <w:szCs w:val="24"/>
              </w:rPr>
            </w:pPr>
            <w:r w:rsidRPr="000B707D">
              <w:rPr>
                <w:rFonts w:eastAsia="Times New Roman" w:cstheme="minorHAnsi"/>
                <w:szCs w:val="24"/>
              </w:rPr>
              <w:t>Αταλάντη</w:t>
            </w:r>
            <w:r w:rsidR="00F47636" w:rsidRPr="000B707D">
              <w:rPr>
                <w:rFonts w:eastAsia="Times New Roman" w:cstheme="minorHAnsi"/>
                <w:szCs w:val="24"/>
              </w:rPr>
              <w:t>,</w:t>
            </w:r>
            <w:r w:rsidRPr="000B707D">
              <w:rPr>
                <w:rFonts w:eastAsia="Times New Roman" w:cstheme="minorHAnsi"/>
                <w:szCs w:val="24"/>
              </w:rPr>
              <w:t xml:space="preserve"> 24 Φεβρουαρίου 2020</w:t>
            </w:r>
          </w:p>
          <w:p w:rsidR="000B707D" w:rsidRDefault="000B707D" w:rsidP="005C0D86">
            <w:pPr>
              <w:spacing w:line="276" w:lineRule="auto"/>
              <w:jc w:val="right"/>
              <w:rPr>
                <w:rFonts w:eastAsia="Times New Roman" w:cstheme="minorHAnsi"/>
                <w:b/>
                <w:szCs w:val="24"/>
              </w:rPr>
            </w:pPr>
          </w:p>
          <w:p w:rsidR="00DC1B5C" w:rsidRPr="000B707D" w:rsidRDefault="007105E8" w:rsidP="005C0D86">
            <w:pPr>
              <w:spacing w:line="276" w:lineRule="auto"/>
              <w:jc w:val="right"/>
              <w:rPr>
                <w:rFonts w:eastAsia="Times New Roman" w:cstheme="minorHAnsi"/>
                <w:b/>
                <w:szCs w:val="24"/>
              </w:rPr>
            </w:pPr>
            <w:r w:rsidRPr="00FF4B42"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</w:tr>
    </w:tbl>
    <w:p w:rsidR="00F56F5A" w:rsidRPr="00FF4B42" w:rsidRDefault="00F56F5A" w:rsidP="00DC1B5C">
      <w:pPr>
        <w:spacing w:after="0"/>
        <w:rPr>
          <w:rStyle w:val="yiv7006000451bumpedfont15"/>
          <w:rFonts w:cstheme="minorHAnsi"/>
          <w:b/>
          <w:bCs/>
          <w:color w:val="3B3A40"/>
          <w:sz w:val="15"/>
          <w:szCs w:val="15"/>
          <w:shd w:val="clear" w:color="auto" w:fill="FFFFFF"/>
        </w:rPr>
      </w:pPr>
    </w:p>
    <w:p w:rsidR="000B707D" w:rsidRPr="00007A13" w:rsidRDefault="00007A13" w:rsidP="000B707D">
      <w:pPr>
        <w:spacing w:after="0"/>
        <w:jc w:val="center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</w:rPr>
        <w:t>ΔΕΛΤΙΟ ΤΥΠΟΥ</w:t>
      </w:r>
      <w:bookmarkStart w:id="0" w:name="_GoBack"/>
      <w:bookmarkEnd w:id="0"/>
    </w:p>
    <w:p w:rsidR="00C711E0" w:rsidRDefault="000B707D" w:rsidP="000B707D">
      <w:pPr>
        <w:spacing w:after="0"/>
        <w:jc w:val="center"/>
        <w:rPr>
          <w:rFonts w:eastAsia="Times New Roman" w:cstheme="minorHAnsi"/>
          <w:b/>
          <w:szCs w:val="24"/>
        </w:rPr>
      </w:pPr>
      <w:r w:rsidRPr="00FF4B42">
        <w:rPr>
          <w:rFonts w:eastAsia="Times New Roman" w:cstheme="minorHAnsi"/>
          <w:b/>
          <w:szCs w:val="24"/>
        </w:rPr>
        <w:t>Ανακύκλωση – Αναβάθμιση ποιότητας ζωής</w:t>
      </w:r>
    </w:p>
    <w:p w:rsidR="000B707D" w:rsidRPr="00FF4B42" w:rsidRDefault="000B707D" w:rsidP="000B707D">
      <w:pPr>
        <w:spacing w:after="0"/>
        <w:jc w:val="center"/>
        <w:rPr>
          <w:rStyle w:val="yiv7006000451bumpedfont15"/>
          <w:rFonts w:cstheme="minorHAnsi"/>
          <w:b/>
          <w:bCs/>
          <w:color w:val="3B3A40"/>
          <w:sz w:val="11"/>
          <w:szCs w:val="15"/>
          <w:shd w:val="clear" w:color="auto" w:fill="FFFFFF"/>
        </w:rPr>
      </w:pPr>
    </w:p>
    <w:p w:rsidR="00605C1B" w:rsidRPr="00CE4ABB" w:rsidRDefault="00605C1B" w:rsidP="005639CB">
      <w:pPr>
        <w:spacing w:after="0"/>
        <w:jc w:val="both"/>
        <w:rPr>
          <w:rFonts w:eastAsia="Times New Roman" w:cstheme="minorHAnsi"/>
          <w:szCs w:val="24"/>
        </w:rPr>
      </w:pPr>
      <w:r w:rsidRPr="00CE4ABB">
        <w:rPr>
          <w:rFonts w:eastAsia="Times New Roman" w:cstheme="minorHAnsi"/>
          <w:szCs w:val="24"/>
        </w:rPr>
        <w:t xml:space="preserve">Ο σεβασμός στο περιβάλλον αποτελεί συστατικό στοιχείο του πολιτισμού κάθε κοινωνίας. Σήμερα η ανάγκη να το προστατεύσουμε και να το διαχειριστούμε σωστά αποτελεί πρωταρχική προσπάθεια της Δημοτικής Αρχής και κύριο άξονα στην προσπάθεια για </w:t>
      </w:r>
      <w:r w:rsidR="00FF4B42">
        <w:rPr>
          <w:rFonts w:eastAsia="Times New Roman" w:cstheme="minorHAnsi"/>
          <w:szCs w:val="24"/>
        </w:rPr>
        <w:t xml:space="preserve">βιώσιμη </w:t>
      </w:r>
      <w:r w:rsidRPr="00CE4ABB">
        <w:rPr>
          <w:rFonts w:eastAsia="Times New Roman" w:cstheme="minorHAnsi"/>
          <w:szCs w:val="24"/>
        </w:rPr>
        <w:t>ανάπτυξη και ποιότητα ζωής</w:t>
      </w:r>
      <w:r w:rsidR="00DC1B5C" w:rsidRPr="00CE4ABB">
        <w:rPr>
          <w:rFonts w:eastAsia="Times New Roman" w:cstheme="minorHAnsi"/>
          <w:szCs w:val="24"/>
        </w:rPr>
        <w:t>.</w:t>
      </w:r>
    </w:p>
    <w:p w:rsidR="00DC1B5C" w:rsidRPr="00CE4ABB" w:rsidRDefault="00DC1B5C" w:rsidP="005639CB">
      <w:pPr>
        <w:spacing w:after="0"/>
        <w:jc w:val="both"/>
        <w:rPr>
          <w:rFonts w:eastAsia="Times New Roman"/>
          <w:sz w:val="24"/>
          <w:szCs w:val="24"/>
        </w:rPr>
      </w:pPr>
    </w:p>
    <w:p w:rsidR="002428C6" w:rsidRPr="00CE4ABB" w:rsidRDefault="002428C6" w:rsidP="005639CB">
      <w:pPr>
        <w:spacing w:after="0"/>
        <w:jc w:val="both"/>
        <w:rPr>
          <w:rFonts w:eastAsia="Times New Roman"/>
          <w:szCs w:val="24"/>
        </w:rPr>
      </w:pPr>
      <w:r w:rsidRPr="00CE4ABB">
        <w:rPr>
          <w:rFonts w:eastAsia="Times New Roman"/>
          <w:szCs w:val="24"/>
        </w:rPr>
        <w:t>Ο</w:t>
      </w:r>
      <w:r w:rsidR="00605C1B" w:rsidRPr="00CE4ABB">
        <w:rPr>
          <w:rFonts w:eastAsia="Times New Roman"/>
          <w:szCs w:val="24"/>
        </w:rPr>
        <w:t xml:space="preserve"> Δήμο</w:t>
      </w:r>
      <w:r w:rsidRPr="00CE4ABB">
        <w:rPr>
          <w:rFonts w:eastAsia="Times New Roman"/>
          <w:szCs w:val="24"/>
        </w:rPr>
        <w:t>ς</w:t>
      </w:r>
      <w:r w:rsidR="00FF4B42">
        <w:rPr>
          <w:rFonts w:eastAsia="Times New Roman"/>
          <w:szCs w:val="24"/>
        </w:rPr>
        <w:t xml:space="preserve"> </w:t>
      </w:r>
      <w:proofErr w:type="spellStart"/>
      <w:r w:rsidR="00FF4B42">
        <w:rPr>
          <w:rFonts w:eastAsia="Times New Roman"/>
          <w:szCs w:val="24"/>
        </w:rPr>
        <w:t>Λοκρών</w:t>
      </w:r>
      <w:proofErr w:type="spellEnd"/>
      <w:r w:rsidR="00FF4B42">
        <w:rPr>
          <w:rFonts w:eastAsia="Times New Roman"/>
          <w:szCs w:val="24"/>
        </w:rPr>
        <w:t xml:space="preserve"> </w:t>
      </w:r>
      <w:r w:rsidRPr="00CE4ABB">
        <w:rPr>
          <w:rFonts w:eastAsia="Times New Roman"/>
          <w:szCs w:val="24"/>
        </w:rPr>
        <w:t>έχει αναπτύξει</w:t>
      </w:r>
      <w:r w:rsidR="00940851" w:rsidRPr="00CE4ABB">
        <w:rPr>
          <w:rFonts w:eastAsia="Times New Roman"/>
          <w:szCs w:val="24"/>
        </w:rPr>
        <w:t xml:space="preserve"> ένα</w:t>
      </w:r>
      <w:r w:rsidR="00605C1B" w:rsidRPr="00CE4ABB">
        <w:rPr>
          <w:rFonts w:eastAsia="Times New Roman"/>
          <w:szCs w:val="24"/>
        </w:rPr>
        <w:t xml:space="preserve"> δίκτυο</w:t>
      </w:r>
      <w:r w:rsidRPr="00CE4ABB">
        <w:rPr>
          <w:rFonts w:eastAsia="Times New Roman"/>
          <w:szCs w:val="24"/>
        </w:rPr>
        <w:t xml:space="preserve"> 377</w:t>
      </w:r>
      <w:r w:rsidR="00605C1B" w:rsidRPr="00CE4ABB">
        <w:rPr>
          <w:rFonts w:eastAsia="Times New Roman"/>
          <w:szCs w:val="24"/>
        </w:rPr>
        <w:t xml:space="preserve"> μπλε κάδων, ούτως ώστε να εξυπηρετούνται οι δημότες και ν</w:t>
      </w:r>
      <w:r w:rsidR="00FF4B42">
        <w:rPr>
          <w:rFonts w:eastAsia="Times New Roman"/>
          <w:szCs w:val="24"/>
        </w:rPr>
        <w:t>α γίνεται με τον καλύτερο δυνατό τρόπο</w:t>
      </w:r>
      <w:r w:rsidR="00940851" w:rsidRPr="00CE4ABB">
        <w:rPr>
          <w:rFonts w:eastAsia="Times New Roman"/>
          <w:szCs w:val="24"/>
        </w:rPr>
        <w:t xml:space="preserve"> η ανακύκλωση</w:t>
      </w:r>
      <w:r w:rsidR="00FF4B42">
        <w:rPr>
          <w:rFonts w:eastAsia="Times New Roman"/>
          <w:szCs w:val="24"/>
        </w:rPr>
        <w:t xml:space="preserve"> συσκευασιών</w:t>
      </w:r>
      <w:r w:rsidRPr="00CE4ABB">
        <w:rPr>
          <w:rFonts w:eastAsia="Times New Roman"/>
          <w:szCs w:val="24"/>
        </w:rPr>
        <w:t>.</w:t>
      </w:r>
      <w:r w:rsidR="00940851" w:rsidRPr="00CE4ABB">
        <w:rPr>
          <w:rFonts w:eastAsia="Times New Roman"/>
          <w:szCs w:val="24"/>
        </w:rPr>
        <w:t xml:space="preserve"> </w:t>
      </w:r>
      <w:r w:rsidR="00FF4B42">
        <w:rPr>
          <w:rFonts w:eastAsia="Times New Roman"/>
          <w:szCs w:val="24"/>
        </w:rPr>
        <w:t>Τ</w:t>
      </w:r>
      <w:r w:rsidR="00940851" w:rsidRPr="00CE4ABB">
        <w:rPr>
          <w:rFonts w:eastAsia="Times New Roman"/>
          <w:szCs w:val="24"/>
        </w:rPr>
        <w:t>ο</w:t>
      </w:r>
      <w:r w:rsidR="00FF4B42">
        <w:rPr>
          <w:rFonts w:eastAsia="Times New Roman"/>
          <w:szCs w:val="24"/>
        </w:rPr>
        <w:t xml:space="preserve"> έτος</w:t>
      </w:r>
      <w:r w:rsidR="00940851" w:rsidRPr="00CE4ABB">
        <w:rPr>
          <w:rFonts w:eastAsia="Times New Roman"/>
          <w:szCs w:val="24"/>
        </w:rPr>
        <w:t xml:space="preserve"> 2019 είχαμε αύξηση κατά 0,5</w:t>
      </w:r>
      <w:r w:rsidR="00FF4B42">
        <w:rPr>
          <w:rFonts w:eastAsia="Times New Roman"/>
          <w:szCs w:val="24"/>
        </w:rPr>
        <w:t>%</w:t>
      </w:r>
      <w:r w:rsidR="00940851" w:rsidRPr="00CE4ABB">
        <w:rPr>
          <w:rFonts w:eastAsia="Times New Roman"/>
          <w:szCs w:val="24"/>
        </w:rPr>
        <w:t xml:space="preserve"> του ποσοστού ανακύκλωσης στο σύνολο των στερεών αποβλήτων</w:t>
      </w:r>
      <w:r w:rsidR="00423A6A">
        <w:rPr>
          <w:rFonts w:eastAsia="Times New Roman"/>
          <w:szCs w:val="24"/>
        </w:rPr>
        <w:t>,</w:t>
      </w:r>
      <w:r w:rsidR="00940851" w:rsidRPr="00CE4ABB">
        <w:rPr>
          <w:rFonts w:eastAsia="Times New Roman"/>
          <w:szCs w:val="24"/>
        </w:rPr>
        <w:t xml:space="preserve"> με παράλληλη μείωση του ποσοστού υπολείμματος</w:t>
      </w:r>
      <w:r w:rsidR="00423A6A">
        <w:rPr>
          <w:rFonts w:eastAsia="Times New Roman"/>
          <w:szCs w:val="24"/>
        </w:rPr>
        <w:t xml:space="preserve"> </w:t>
      </w:r>
      <w:r w:rsidR="00940851" w:rsidRPr="00CE4ABB">
        <w:rPr>
          <w:rFonts w:eastAsia="Times New Roman"/>
          <w:szCs w:val="24"/>
        </w:rPr>
        <w:t>δηλ</w:t>
      </w:r>
      <w:r w:rsidR="00FF4B42">
        <w:rPr>
          <w:rFonts w:eastAsia="Times New Roman"/>
          <w:szCs w:val="24"/>
        </w:rPr>
        <w:t xml:space="preserve">αδή </w:t>
      </w:r>
      <w:r w:rsidR="00940851" w:rsidRPr="00CE4ABB">
        <w:rPr>
          <w:rFonts w:eastAsia="Times New Roman"/>
          <w:szCs w:val="24"/>
        </w:rPr>
        <w:t xml:space="preserve">των αποβλήτων που κρίθηκαν ως ακατάλληλα για ανακύκλωση. Η βελτίωση αυτή οφείλεται κυρίως στην προσπάθεια που καταβλήθηκε τους τελευταίους μήνες του χρόνου </w:t>
      </w:r>
      <w:r w:rsidR="00FF4B42">
        <w:rPr>
          <w:rFonts w:eastAsia="Times New Roman"/>
          <w:szCs w:val="24"/>
        </w:rPr>
        <w:t>με την αύξηση του αριθμού των δρομολογίων ανακύκλωσης σε 6ήμερη βάση ανά εβδομάδα</w:t>
      </w:r>
      <w:r w:rsidR="00940851" w:rsidRPr="00CE4ABB">
        <w:rPr>
          <w:rFonts w:eastAsia="Times New Roman"/>
          <w:szCs w:val="24"/>
        </w:rPr>
        <w:t xml:space="preserve">. </w:t>
      </w:r>
    </w:p>
    <w:p w:rsidR="002428C6" w:rsidRDefault="002428C6" w:rsidP="005639CB">
      <w:pPr>
        <w:spacing w:after="0"/>
        <w:rPr>
          <w:rStyle w:val="yiv7006000451bumpedfont15"/>
          <w:rFonts w:cstheme="minorHAnsi"/>
          <w:bCs/>
          <w:sz w:val="20"/>
          <w:szCs w:val="15"/>
          <w:shd w:val="clear" w:color="auto" w:fill="FFFFFF"/>
        </w:rPr>
      </w:pPr>
    </w:p>
    <w:p w:rsidR="00CE0E08" w:rsidRDefault="00CE0E08" w:rsidP="005639CB">
      <w:pPr>
        <w:spacing w:after="0"/>
        <w:rPr>
          <w:rStyle w:val="yiv7006000451bumpedfont15"/>
          <w:rFonts w:cstheme="minorHAnsi"/>
          <w:bCs/>
          <w:sz w:val="20"/>
          <w:szCs w:val="15"/>
          <w:shd w:val="clear" w:color="auto" w:fill="FFFFFF"/>
        </w:rPr>
      </w:pPr>
    </w:p>
    <w:p w:rsidR="00F90450" w:rsidRDefault="00F90450" w:rsidP="00CE4ABB">
      <w:pPr>
        <w:spacing w:after="0"/>
        <w:jc w:val="center"/>
        <w:rPr>
          <w:rStyle w:val="yiv7006000451bumpedfont15"/>
          <w:rFonts w:cstheme="minorHAnsi"/>
          <w:bCs/>
          <w:sz w:val="20"/>
          <w:szCs w:val="15"/>
          <w:shd w:val="clear" w:color="auto" w:fill="FFFFFF"/>
        </w:rPr>
      </w:pPr>
      <w:r w:rsidRPr="002428C6">
        <w:rPr>
          <w:rStyle w:val="yiv7006000451bumpedfont15"/>
          <w:rFonts w:cstheme="minorHAnsi"/>
          <w:bCs/>
          <w:noProof/>
          <w:sz w:val="20"/>
          <w:szCs w:val="15"/>
          <w:shd w:val="clear" w:color="auto" w:fill="FFFFFF"/>
        </w:rPr>
        <w:drawing>
          <wp:inline distT="0" distB="0" distL="0" distR="0">
            <wp:extent cx="1440000" cy="1185063"/>
            <wp:effectExtent l="19050" t="0" r="7800" b="0"/>
            <wp:docPr id="33" name="Γράφημα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428C6">
        <w:rPr>
          <w:rStyle w:val="yiv7006000451bumpedfont15"/>
          <w:rFonts w:cstheme="minorHAnsi"/>
          <w:bCs/>
          <w:noProof/>
          <w:sz w:val="20"/>
          <w:szCs w:val="15"/>
          <w:shd w:val="clear" w:color="auto" w:fill="FFFFFF"/>
        </w:rPr>
        <w:drawing>
          <wp:inline distT="0" distB="0" distL="0" distR="0">
            <wp:extent cx="1440000" cy="1185063"/>
            <wp:effectExtent l="19050" t="0" r="7800" b="0"/>
            <wp:docPr id="43" name="Γράφημα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0450" w:rsidRDefault="00F90450" w:rsidP="00CE4ABB">
      <w:pPr>
        <w:spacing w:after="0"/>
        <w:jc w:val="center"/>
        <w:rPr>
          <w:rStyle w:val="yiv7006000451bumpedfont15"/>
          <w:rFonts w:cstheme="minorHAnsi"/>
          <w:bCs/>
          <w:sz w:val="20"/>
          <w:szCs w:val="15"/>
          <w:shd w:val="clear" w:color="auto" w:fill="FFFFFF"/>
        </w:rPr>
      </w:pPr>
      <w:r w:rsidRPr="000721A6">
        <w:rPr>
          <w:rStyle w:val="yiv7006000451bumpedfont15"/>
          <w:rFonts w:cstheme="minorHAnsi"/>
          <w:bCs/>
          <w:noProof/>
          <w:sz w:val="20"/>
          <w:szCs w:val="15"/>
          <w:shd w:val="clear" w:color="auto" w:fill="FFFFFF"/>
        </w:rPr>
        <w:drawing>
          <wp:inline distT="0" distB="0" distL="0" distR="0">
            <wp:extent cx="1447496" cy="1188000"/>
            <wp:effectExtent l="19050" t="0" r="304" b="0"/>
            <wp:docPr id="42" name="Γράφημα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36494" w:rsidRPr="00D01255">
        <w:rPr>
          <w:rStyle w:val="yiv7006000451bumpedfont15"/>
          <w:rFonts w:cstheme="minorHAnsi"/>
          <w:bCs/>
          <w:noProof/>
          <w:sz w:val="20"/>
          <w:szCs w:val="15"/>
          <w:shd w:val="clear" w:color="auto" w:fill="FFFFFF"/>
        </w:rPr>
        <w:drawing>
          <wp:inline distT="0" distB="0" distL="0" distR="0">
            <wp:extent cx="1447495" cy="1188000"/>
            <wp:effectExtent l="19050" t="0" r="305" b="0"/>
            <wp:docPr id="45" name="Γράφημα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29C3" w:rsidRPr="00205516" w:rsidRDefault="00CC29C3" w:rsidP="002B5338">
      <w:pPr>
        <w:spacing w:after="0"/>
        <w:rPr>
          <w:rStyle w:val="yiv7006000451bumpedfont15"/>
          <w:rFonts w:cstheme="minorHAnsi"/>
          <w:bCs/>
          <w:sz w:val="20"/>
          <w:szCs w:val="15"/>
          <w:shd w:val="clear" w:color="auto" w:fill="FFFFFF"/>
          <w:lang w:val="en-US"/>
        </w:rPr>
      </w:pPr>
    </w:p>
    <w:p w:rsidR="00F90450" w:rsidRDefault="00F90450" w:rsidP="00CE4ABB">
      <w:pPr>
        <w:spacing w:after="0"/>
        <w:jc w:val="center"/>
        <w:rPr>
          <w:rStyle w:val="yiv7006000451bumpedfont15"/>
          <w:rFonts w:cstheme="minorHAnsi"/>
          <w:bCs/>
          <w:sz w:val="20"/>
          <w:szCs w:val="15"/>
          <w:shd w:val="clear" w:color="auto" w:fill="FFFFFF"/>
        </w:rPr>
      </w:pPr>
      <w:r w:rsidRPr="00B94AC7">
        <w:rPr>
          <w:rStyle w:val="yiv7006000451bumpedfont15"/>
          <w:rFonts w:cstheme="minorHAnsi"/>
          <w:bCs/>
          <w:noProof/>
          <w:sz w:val="12"/>
          <w:szCs w:val="15"/>
          <w:shd w:val="clear" w:color="auto" w:fill="FFFFFF"/>
        </w:rPr>
        <w:drawing>
          <wp:inline distT="0" distB="0" distL="0" distR="0">
            <wp:extent cx="2952750" cy="1872000"/>
            <wp:effectExtent l="0" t="0" r="0" b="0"/>
            <wp:docPr id="31" name="Γράφημα 1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ve="http://schemas.openxmlformats.org/markup-compatibility/2006" id="{00000000-0008-0000-0900-00009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07A5" w:rsidRDefault="001807A5" w:rsidP="00CE4ABB">
      <w:pPr>
        <w:spacing w:after="0"/>
        <w:jc w:val="center"/>
        <w:rPr>
          <w:rStyle w:val="yiv7006000451bumpedfont15"/>
          <w:rFonts w:cstheme="minorHAnsi"/>
          <w:bCs/>
          <w:sz w:val="20"/>
          <w:szCs w:val="15"/>
          <w:shd w:val="clear" w:color="auto" w:fill="FFFFFF"/>
        </w:rPr>
      </w:pPr>
    </w:p>
    <w:p w:rsidR="002428C6" w:rsidRPr="00450349" w:rsidRDefault="00F90450" w:rsidP="00CE4ABB">
      <w:pPr>
        <w:spacing w:after="0"/>
        <w:jc w:val="center"/>
        <w:rPr>
          <w:rStyle w:val="yiv7006000451bumpedfont15"/>
          <w:rFonts w:cstheme="minorHAnsi"/>
          <w:bCs/>
          <w:sz w:val="20"/>
          <w:szCs w:val="15"/>
          <w:shd w:val="clear" w:color="auto" w:fill="FFFFFF"/>
          <w:lang w:val="en-US"/>
        </w:rPr>
      </w:pPr>
      <w:r w:rsidRPr="00C23871">
        <w:rPr>
          <w:rStyle w:val="yiv7006000451bumpedfont15"/>
          <w:rFonts w:cstheme="minorHAnsi"/>
          <w:bCs/>
          <w:noProof/>
          <w:sz w:val="20"/>
          <w:szCs w:val="15"/>
          <w:shd w:val="clear" w:color="auto" w:fill="FFFFFF"/>
        </w:rPr>
        <w:drawing>
          <wp:inline distT="0" distB="0" distL="0" distR="0">
            <wp:extent cx="2952750" cy="1872000"/>
            <wp:effectExtent l="0" t="0" r="0" b="0"/>
            <wp:docPr id="32" name="Γράφημα 1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ve="http://schemas.openxmlformats.org/markup-compatibility/2006" id="{00000000-0008-0000-0900-00009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5C1B" w:rsidRPr="00CE4ABB" w:rsidRDefault="00940851" w:rsidP="005639CB">
      <w:pPr>
        <w:spacing w:after="0"/>
        <w:ind w:left="2552"/>
        <w:jc w:val="both"/>
        <w:rPr>
          <w:rFonts w:eastAsia="Times New Roman"/>
          <w:i/>
          <w:sz w:val="16"/>
          <w:szCs w:val="24"/>
        </w:rPr>
      </w:pPr>
      <w:r w:rsidRPr="00CE4ABB">
        <w:rPr>
          <w:rFonts w:eastAsia="Times New Roman"/>
          <w:i/>
          <w:sz w:val="16"/>
          <w:szCs w:val="24"/>
        </w:rPr>
        <w:t xml:space="preserve">Πηγή: ΚΔΑΥ Λαμίας και </w:t>
      </w:r>
      <w:proofErr w:type="spellStart"/>
      <w:r w:rsidRPr="00CE4ABB">
        <w:rPr>
          <w:rFonts w:eastAsia="Times New Roman"/>
          <w:i/>
          <w:sz w:val="16"/>
          <w:szCs w:val="24"/>
        </w:rPr>
        <w:t>ΦοΔΣΑ</w:t>
      </w:r>
      <w:proofErr w:type="spellEnd"/>
      <w:r w:rsidRPr="00CE4ABB">
        <w:rPr>
          <w:rFonts w:eastAsia="Times New Roman"/>
          <w:i/>
          <w:sz w:val="16"/>
          <w:szCs w:val="24"/>
        </w:rPr>
        <w:t xml:space="preserve"> Στερεάς Ελλάδος</w:t>
      </w:r>
    </w:p>
    <w:p w:rsidR="00940851" w:rsidRPr="00CE4ABB" w:rsidRDefault="00940851" w:rsidP="00CE4ABB">
      <w:pPr>
        <w:spacing w:after="0"/>
        <w:jc w:val="both"/>
        <w:rPr>
          <w:rFonts w:eastAsia="Times New Roman"/>
          <w:szCs w:val="24"/>
        </w:rPr>
      </w:pPr>
    </w:p>
    <w:p w:rsidR="00940851" w:rsidRPr="007105E8" w:rsidRDefault="00FF4B42" w:rsidP="00CE4ABB">
      <w:pPr>
        <w:spacing w:after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Καλούμε τους Δημότες</w:t>
      </w:r>
      <w:r w:rsidR="00940851" w:rsidRPr="00CE4ABB">
        <w:rPr>
          <w:rFonts w:eastAsia="Times New Roman"/>
          <w:szCs w:val="24"/>
        </w:rPr>
        <w:t xml:space="preserve"> να </w:t>
      </w:r>
      <w:r>
        <w:rPr>
          <w:rFonts w:eastAsia="Times New Roman"/>
          <w:szCs w:val="24"/>
        </w:rPr>
        <w:t>ευαισθητοποιηθούν περαιτέρω στο ζήτημα της ανακύκλωσης των απορριμμάτων</w:t>
      </w:r>
      <w:r w:rsidR="00940851" w:rsidRPr="00CE4ABB">
        <w:rPr>
          <w:rFonts w:eastAsia="Times New Roman"/>
          <w:szCs w:val="24"/>
        </w:rPr>
        <w:t>, ενέργεια που θα βοηθήσει στην ορθολογική και σωστή διαχείριση, προκειμένου να μειωθεί ο παραγόμενος όγκος απορριμμάτων</w:t>
      </w:r>
      <w:r>
        <w:rPr>
          <w:rFonts w:eastAsia="Times New Roman"/>
          <w:szCs w:val="24"/>
        </w:rPr>
        <w:t>.</w:t>
      </w:r>
    </w:p>
    <w:p w:rsidR="00C711E0" w:rsidRPr="007105E8" w:rsidRDefault="00C711E0" w:rsidP="00CE4ABB">
      <w:pPr>
        <w:spacing w:after="0"/>
        <w:jc w:val="both"/>
        <w:rPr>
          <w:rFonts w:eastAsia="Times New Roman"/>
          <w:szCs w:val="24"/>
        </w:rPr>
      </w:pPr>
    </w:p>
    <w:p w:rsidR="00C711E0" w:rsidRPr="001807A5" w:rsidRDefault="00C711E0" w:rsidP="00C711E0">
      <w:pPr>
        <w:spacing w:after="0"/>
        <w:jc w:val="both"/>
        <w:rPr>
          <w:rFonts w:eastAsia="Times New Roman" w:cstheme="minorHAnsi"/>
          <w:iCs/>
          <w:color w:val="000000"/>
        </w:rPr>
      </w:pPr>
      <w:r w:rsidRPr="001807A5">
        <w:rPr>
          <w:rFonts w:eastAsia="Times New Roman" w:cstheme="minorHAnsi"/>
          <w:iCs/>
          <w:color w:val="000000"/>
        </w:rPr>
        <w:t>Το χρωστάμε άλλωστε στους εαυτούς μας, μα κυρίως στα παιδιά μας και στις γενιές που έρχονται</w:t>
      </w:r>
      <w:r w:rsidR="00FF4B42" w:rsidRPr="001807A5">
        <w:rPr>
          <w:rFonts w:eastAsia="Times New Roman" w:cstheme="minorHAnsi"/>
          <w:iCs/>
          <w:color w:val="000000"/>
        </w:rPr>
        <w:t>, ώστε να μειωθεί η εξάντληση των φυσικών πόρων του πλανήτη</w:t>
      </w:r>
      <w:r w:rsidRPr="001807A5">
        <w:rPr>
          <w:rFonts w:eastAsia="Times New Roman" w:cstheme="minorHAnsi"/>
          <w:iCs/>
          <w:color w:val="000000"/>
        </w:rPr>
        <w:t>.</w:t>
      </w:r>
    </w:p>
    <w:p w:rsidR="00C711E0" w:rsidRPr="007105E8" w:rsidRDefault="00C711E0" w:rsidP="00C711E0">
      <w:pPr>
        <w:spacing w:after="0"/>
        <w:jc w:val="both"/>
        <w:rPr>
          <w:rFonts w:eastAsia="Times New Roman" w:cstheme="minorHAnsi"/>
        </w:rPr>
      </w:pP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</w:rPr>
      </w:pPr>
      <w:r w:rsidRPr="00C711E0">
        <w:rPr>
          <w:rFonts w:eastAsia="Times New Roman" w:cstheme="minorHAnsi"/>
          <w:color w:val="000000"/>
        </w:rPr>
        <w:t xml:space="preserve">Μια προσπάθεια, όπως αυτή, με σκοπό τη βελτίωση του περιβάλλοντος και την εξυγίανσή του από την αλόγιστη κατάχρηση </w:t>
      </w:r>
      <w:r w:rsidR="00FF4B42">
        <w:rPr>
          <w:rFonts w:eastAsia="Times New Roman" w:cstheme="minorHAnsi"/>
          <w:color w:val="000000"/>
        </w:rPr>
        <w:t>των φυσικών πόρων</w:t>
      </w:r>
      <w:r w:rsidRPr="00C711E0">
        <w:rPr>
          <w:rFonts w:eastAsia="Times New Roman" w:cstheme="minorHAnsi"/>
          <w:color w:val="000000"/>
        </w:rPr>
        <w:t>, χρειάζεται πάνω από όλα τους πολίτες. Η υιοθέτηση μιας θετικής περιβαλλοντικής συμπεριφοράς θα πρέπει να μας αγγίζει όλους.</w:t>
      </w: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  <w:b/>
          <w:bCs/>
          <w:color w:val="000000"/>
        </w:rPr>
      </w:pP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  <w:b/>
          <w:bCs/>
          <w:color w:val="000000"/>
        </w:rPr>
      </w:pPr>
      <w:r w:rsidRPr="00C711E0">
        <w:rPr>
          <w:rFonts w:eastAsia="Times New Roman" w:cstheme="minorHAnsi"/>
          <w:b/>
          <w:bCs/>
          <w:color w:val="000000"/>
        </w:rPr>
        <w:t>Ότι πρέπει</w:t>
      </w:r>
      <w:r w:rsidR="00FF4B42">
        <w:rPr>
          <w:rFonts w:eastAsia="Times New Roman" w:cstheme="minorHAnsi"/>
          <w:b/>
          <w:bCs/>
          <w:color w:val="000000"/>
        </w:rPr>
        <w:t xml:space="preserve"> να γνωρίζουμε</w:t>
      </w:r>
      <w:r w:rsidRPr="00C711E0">
        <w:rPr>
          <w:rFonts w:eastAsia="Times New Roman" w:cstheme="minorHAnsi"/>
          <w:b/>
          <w:bCs/>
          <w:color w:val="000000"/>
        </w:rPr>
        <w:t xml:space="preserve"> για την ανακύκλωση</w:t>
      </w: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</w:rPr>
      </w:pPr>
    </w:p>
    <w:p w:rsidR="00C711E0" w:rsidRPr="007105E8" w:rsidRDefault="00C711E0" w:rsidP="00C711E0">
      <w:pPr>
        <w:spacing w:after="0"/>
        <w:jc w:val="both"/>
        <w:rPr>
          <w:rFonts w:eastAsia="Times New Roman" w:cstheme="minorHAnsi"/>
          <w:color w:val="000000"/>
        </w:rPr>
      </w:pPr>
      <w:r w:rsidRPr="00C711E0">
        <w:rPr>
          <w:rFonts w:eastAsia="Times New Roman" w:cstheme="minorHAnsi"/>
          <w:color w:val="000000"/>
        </w:rPr>
        <w:t>Ανακύκλωση είναι η επεξεργασία υλικών που, αν και τα προορίζαμε για απορρίμματα, διατηρούν μέρος της αξίας τους και μπορούν να επαναχρησιμοποιηθούν, ωφελώντας το περιβάλλον και την οικονομία. Ο σημερινός τρόπος ζωής έχει αλλάξει αρκετά τη σύσταση των σκουπιδιών, που παράγουμε καθημερινά, ενώ έχει αυξηθεί κατά πολύ το ποσοστό των συσκευασιών, που καταλήγουν στα απορρίμματα. Η παραγωγή αποβλήτων συσκευασιών αποτελεί σημαντική μορφή ρύπανσης και ταυτόχρονα πραγματική ή εν δυνάμει σπατάλη φυσικών πόρων, που πρέπει να περιοριστεί στο ελάχιστο δυνατό.</w:t>
      </w:r>
    </w:p>
    <w:p w:rsidR="00C711E0" w:rsidRPr="00205516" w:rsidRDefault="00C711E0" w:rsidP="00C711E0">
      <w:pPr>
        <w:spacing w:after="0"/>
        <w:jc w:val="both"/>
        <w:rPr>
          <w:rFonts w:eastAsia="Times New Roman" w:cstheme="minorHAnsi"/>
          <w:sz w:val="20"/>
        </w:rPr>
      </w:pPr>
    </w:p>
    <w:p w:rsidR="00C711E0" w:rsidRPr="00205516" w:rsidRDefault="00C711E0" w:rsidP="00C711E0">
      <w:pPr>
        <w:spacing w:after="0"/>
        <w:jc w:val="center"/>
        <w:rPr>
          <w:rFonts w:eastAsia="Times New Roman" w:cstheme="minorHAnsi"/>
          <w:sz w:val="20"/>
        </w:rPr>
      </w:pPr>
      <w:r w:rsidRPr="00C711E0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>
            <wp:extent cx="1143000" cy="1181100"/>
            <wp:effectExtent l="19050" t="0" r="0" b="0"/>
            <wp:docPr id="52" name="Εικόνα 2" descr="https://lh6.googleusercontent.com/WKYAvspIfVqdXBI62VT4bJ0semTLaq4OF4lN65T9MjPqflID3bW62TDFI2BAUvbZ0a50dKYI--KwsobDjqQFpulqNNzqJE9jOAoFzi-EF01s_44dNSdPy1ZsEPQHoY_A9qeMYk2MknmWaa27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WKYAvspIfVqdXBI62VT4bJ0semTLaq4OF4lN65T9MjPqflID3bW62TDFI2BAUvbZ0a50dKYI--KwsobDjqQFpulqNNzqJE9jOAoFzi-EF01s_44dNSdPy1ZsEPQHoY_A9qeMYk2MknmWaa27x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98" cy="118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  <w:b/>
          <w:bCs/>
          <w:color w:val="000000"/>
        </w:rPr>
      </w:pP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  <w:lang w:val="en-US"/>
        </w:rPr>
        <w:t>T</w:t>
      </w:r>
      <w:r w:rsidR="00FF4B42">
        <w:rPr>
          <w:rFonts w:eastAsia="Times New Roman" w:cstheme="minorHAnsi"/>
          <w:b/>
          <w:bCs/>
          <w:color w:val="000000"/>
        </w:rPr>
        <w:t>ι μπορούμε να απορρίψουμε στους μπλε κάδους</w:t>
      </w:r>
    </w:p>
    <w:p w:rsidR="00ED6E4D" w:rsidRDefault="00ED6E4D" w:rsidP="00C711E0">
      <w:pPr>
        <w:spacing w:after="0"/>
        <w:jc w:val="both"/>
        <w:rPr>
          <w:rFonts w:eastAsia="Times New Roman" w:cstheme="minorHAnsi"/>
          <w:color w:val="000000"/>
        </w:rPr>
      </w:pPr>
    </w:p>
    <w:p w:rsidR="00C711E0" w:rsidRPr="00C711E0" w:rsidRDefault="00ED6E4D" w:rsidP="00C711E0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Σ</w:t>
      </w:r>
      <w:r w:rsidR="00C711E0" w:rsidRPr="00C711E0">
        <w:rPr>
          <w:rFonts w:eastAsia="Times New Roman" w:cstheme="minorHAnsi"/>
          <w:color w:val="000000"/>
        </w:rPr>
        <w:t xml:space="preserve">τους μπλε κάδους </w:t>
      </w:r>
      <w:r>
        <w:rPr>
          <w:rFonts w:eastAsia="Times New Roman" w:cstheme="minorHAnsi"/>
          <w:color w:val="000000"/>
        </w:rPr>
        <w:t xml:space="preserve">απορρίπτονται </w:t>
      </w:r>
      <w:r w:rsidR="00C711E0" w:rsidRPr="00C711E0">
        <w:rPr>
          <w:rFonts w:eastAsia="Times New Roman" w:cstheme="minorHAnsi"/>
          <w:color w:val="000000"/>
        </w:rPr>
        <w:t>όλων των ειδών τα υλικά συσκευασίας, όπως:</w:t>
      </w:r>
    </w:p>
    <w:p w:rsidR="00C711E0" w:rsidRPr="00C711E0" w:rsidRDefault="00C711E0" w:rsidP="00C711E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textAlignment w:val="baseline"/>
        <w:rPr>
          <w:rFonts w:eastAsia="Times New Roman" w:cstheme="minorHAnsi"/>
          <w:color w:val="000000"/>
        </w:rPr>
      </w:pPr>
      <w:r w:rsidRPr="00C711E0">
        <w:rPr>
          <w:rFonts w:eastAsia="Times New Roman" w:cstheme="minorHAnsi"/>
          <w:color w:val="000000"/>
        </w:rPr>
        <w:t xml:space="preserve">χάρτινες συσκευασίες (π.χ. χαρτοκιβώτια, συσκευασίες τύπου </w:t>
      </w:r>
      <w:proofErr w:type="spellStart"/>
      <w:r w:rsidRPr="00C711E0">
        <w:rPr>
          <w:rFonts w:eastAsia="Times New Roman" w:cstheme="minorHAnsi"/>
          <w:color w:val="000000"/>
        </w:rPr>
        <w:t>τετραπάκ</w:t>
      </w:r>
      <w:proofErr w:type="spellEnd"/>
      <w:r w:rsidRPr="00C711E0">
        <w:rPr>
          <w:rFonts w:eastAsia="Times New Roman" w:cstheme="minorHAnsi"/>
          <w:color w:val="000000"/>
        </w:rPr>
        <w:t>, χάρτινες συσκευασίες από τρόφιμα, είδη προσωπικής φροντίδας και είδη καθαρισμού σπιτιού),</w:t>
      </w:r>
    </w:p>
    <w:p w:rsidR="00C711E0" w:rsidRPr="00C711E0" w:rsidRDefault="00C711E0" w:rsidP="00C711E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textAlignment w:val="baseline"/>
        <w:rPr>
          <w:rFonts w:eastAsia="Times New Roman" w:cstheme="minorHAnsi"/>
          <w:color w:val="000000"/>
        </w:rPr>
      </w:pPr>
      <w:r w:rsidRPr="00C711E0">
        <w:rPr>
          <w:rFonts w:eastAsia="Times New Roman" w:cstheme="minorHAnsi"/>
          <w:color w:val="000000"/>
        </w:rPr>
        <w:t>αλουμινένιες συσκευασίες (π.χ. κουτάκια αναψυκτικών),</w:t>
      </w:r>
    </w:p>
    <w:p w:rsidR="00C711E0" w:rsidRPr="00C711E0" w:rsidRDefault="00C711E0" w:rsidP="00C711E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textAlignment w:val="baseline"/>
        <w:rPr>
          <w:rFonts w:eastAsia="Times New Roman" w:cstheme="minorHAnsi"/>
          <w:color w:val="000000"/>
        </w:rPr>
      </w:pPr>
      <w:r w:rsidRPr="00C711E0">
        <w:rPr>
          <w:rFonts w:eastAsia="Times New Roman" w:cstheme="minorHAnsi"/>
          <w:color w:val="000000"/>
        </w:rPr>
        <w:t>γυάλινες συσκευασίες (π.χ. μπουκάλια νερού και ποτών, βαζάκια τροφίμων),</w:t>
      </w:r>
    </w:p>
    <w:p w:rsidR="00C711E0" w:rsidRPr="00C711E0" w:rsidRDefault="00C711E0" w:rsidP="00C711E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textAlignment w:val="baseline"/>
        <w:rPr>
          <w:rFonts w:eastAsia="Times New Roman" w:cstheme="minorHAnsi"/>
          <w:color w:val="000000"/>
        </w:rPr>
      </w:pPr>
      <w:r w:rsidRPr="00C711E0">
        <w:rPr>
          <w:rFonts w:eastAsia="Times New Roman" w:cstheme="minorHAnsi"/>
          <w:color w:val="000000"/>
        </w:rPr>
        <w:lastRenderedPageBreak/>
        <w:t>πλαστικές συσκευασίες (π.χ. μπουκάλια νερού, ποτών, χυμών, πλαστικές συσκευασίες από τρόφιμα, είδη προσωπικής φροντίδας, είδη καθαρισμού σπιτιού και πλαστικές σακούλες),</w:t>
      </w:r>
    </w:p>
    <w:p w:rsidR="00C711E0" w:rsidRPr="00C711E0" w:rsidRDefault="00C711E0" w:rsidP="00C711E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textAlignment w:val="baseline"/>
        <w:rPr>
          <w:rFonts w:eastAsia="Times New Roman" w:cstheme="minorHAnsi"/>
          <w:color w:val="000000"/>
        </w:rPr>
      </w:pPr>
      <w:proofErr w:type="spellStart"/>
      <w:r w:rsidRPr="00C711E0">
        <w:rPr>
          <w:rFonts w:eastAsia="Times New Roman" w:cstheme="minorHAnsi"/>
          <w:color w:val="000000"/>
        </w:rPr>
        <w:t>ευκοσιδηρές</w:t>
      </w:r>
      <w:proofErr w:type="spellEnd"/>
      <w:r w:rsidRPr="00C711E0">
        <w:rPr>
          <w:rFonts w:eastAsia="Times New Roman" w:cstheme="minorHAnsi"/>
          <w:color w:val="000000"/>
        </w:rPr>
        <w:t xml:space="preserve"> συσκευασίες (π.χ. κονσέρβες τροφίμων).</w:t>
      </w: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  <w:color w:val="000000"/>
        </w:rPr>
      </w:pP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</w:rPr>
      </w:pPr>
      <w:r w:rsidRPr="00C711E0">
        <w:rPr>
          <w:rFonts w:eastAsia="Times New Roman" w:cstheme="minorHAnsi"/>
          <w:color w:val="000000"/>
        </w:rPr>
        <w:t xml:space="preserve">Επίσης, στους μπλε κάδους μπορούν </w:t>
      </w:r>
      <w:r w:rsidR="00ED6E4D">
        <w:rPr>
          <w:rFonts w:eastAsia="Times New Roman" w:cstheme="minorHAnsi"/>
          <w:color w:val="000000"/>
        </w:rPr>
        <w:t>απορρίπτε</w:t>
      </w:r>
      <w:r w:rsidR="00ED6E4D" w:rsidRPr="00ED6E4D">
        <w:rPr>
          <w:rFonts w:eastAsia="Times New Roman" w:cstheme="minorHAnsi"/>
          <w:color w:val="000000"/>
        </w:rPr>
        <w:t xml:space="preserve">ται </w:t>
      </w:r>
      <w:r w:rsidRPr="00C711E0">
        <w:rPr>
          <w:rFonts w:eastAsia="Times New Roman" w:cstheme="minorHAnsi"/>
          <w:color w:val="000000"/>
        </w:rPr>
        <w:t>έντυπο χαρτί (π.χ. εφημερίδες, περιοδικά, τετράδια).</w:t>
      </w: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  <w:b/>
          <w:bCs/>
          <w:color w:val="000000"/>
        </w:rPr>
      </w:pPr>
    </w:p>
    <w:p w:rsidR="00ED6E4D" w:rsidRDefault="00C711E0" w:rsidP="00C711E0">
      <w:pPr>
        <w:spacing w:after="0"/>
        <w:jc w:val="both"/>
        <w:rPr>
          <w:rFonts w:eastAsia="Times New Roman" w:cstheme="minorHAnsi"/>
          <w:b/>
          <w:bCs/>
          <w:color w:val="000000"/>
        </w:rPr>
      </w:pPr>
      <w:r w:rsidRPr="00C711E0">
        <w:rPr>
          <w:rFonts w:eastAsia="Times New Roman" w:cstheme="minorHAnsi"/>
          <w:b/>
          <w:bCs/>
          <w:color w:val="000000"/>
        </w:rPr>
        <w:t xml:space="preserve">Όταν λέμε πλαστικό, τι ακριβώς εννοούμε; </w:t>
      </w:r>
    </w:p>
    <w:p w:rsidR="00ED6E4D" w:rsidRDefault="00ED6E4D" w:rsidP="00C711E0">
      <w:pPr>
        <w:spacing w:after="0"/>
        <w:jc w:val="both"/>
        <w:rPr>
          <w:rFonts w:eastAsia="Times New Roman" w:cstheme="minorHAnsi"/>
          <w:color w:val="000000"/>
        </w:rPr>
      </w:pP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</w:rPr>
      </w:pPr>
      <w:r w:rsidRPr="00C711E0">
        <w:rPr>
          <w:rFonts w:eastAsia="Times New Roman" w:cstheme="minorHAnsi"/>
          <w:color w:val="000000"/>
        </w:rPr>
        <w:t xml:space="preserve">Όλες τις συσκευασίες, που αντιλαμβάνονται οι πολίτες ως πλαστικές, μπορούν να τις απορρίψουν στους μπλε κάδους, δηλαδή από </w:t>
      </w:r>
      <w:proofErr w:type="spellStart"/>
      <w:r w:rsidRPr="00C711E0">
        <w:rPr>
          <w:rFonts w:eastAsia="Times New Roman" w:cstheme="minorHAnsi"/>
          <w:color w:val="000000"/>
        </w:rPr>
        <w:t>περιέκτες</w:t>
      </w:r>
      <w:proofErr w:type="spellEnd"/>
      <w:r w:rsidRPr="00C711E0">
        <w:rPr>
          <w:rFonts w:eastAsia="Times New Roman" w:cstheme="minorHAnsi"/>
          <w:color w:val="000000"/>
        </w:rPr>
        <w:t xml:space="preserve"> τροφίμων μέχρι πλαστικές σακούλες και σελοφάν. Εξαίρεση αποτελούν οι βιοδιασπώμενες σακούλες, οι οποίες δεν ανακυκλώνονται, αυτό όμως δεν αποτελεί πρόβλημα, καθώς η κυκλοφορία τους είναι πολύ περιορισμένη.</w:t>
      </w: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  <w:b/>
          <w:bCs/>
          <w:color w:val="000000"/>
        </w:rPr>
      </w:pP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</w:rPr>
      </w:pPr>
      <w:r w:rsidRPr="00C711E0">
        <w:rPr>
          <w:rFonts w:eastAsia="Times New Roman" w:cstheme="minorHAnsi"/>
          <w:b/>
          <w:bCs/>
          <w:color w:val="000000"/>
        </w:rPr>
        <w:t xml:space="preserve">Μπορούμε να πετάξουμε </w:t>
      </w:r>
      <w:proofErr w:type="spellStart"/>
      <w:r w:rsidRPr="00C711E0">
        <w:rPr>
          <w:rFonts w:eastAsia="Times New Roman" w:cstheme="minorHAnsi"/>
          <w:b/>
          <w:bCs/>
          <w:color w:val="000000"/>
        </w:rPr>
        <w:t>illustration</w:t>
      </w:r>
      <w:proofErr w:type="spellEnd"/>
      <w:r w:rsidRPr="00C711E0">
        <w:rPr>
          <w:rFonts w:eastAsia="Times New Roman" w:cstheme="minorHAnsi"/>
          <w:b/>
          <w:bCs/>
          <w:color w:val="000000"/>
        </w:rPr>
        <w:t xml:space="preserve"> χαρτί μαζί με το χαρτί εφημερίδας σε μπλε κάδο;</w:t>
      </w:r>
    </w:p>
    <w:p w:rsidR="00ED6E4D" w:rsidRDefault="00ED6E4D" w:rsidP="00C711E0">
      <w:pPr>
        <w:spacing w:after="0"/>
        <w:jc w:val="both"/>
        <w:rPr>
          <w:rFonts w:eastAsia="Times New Roman" w:cstheme="minorHAnsi"/>
          <w:color w:val="000000"/>
        </w:rPr>
      </w:pP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</w:rPr>
      </w:pPr>
      <w:r w:rsidRPr="00C711E0">
        <w:rPr>
          <w:rFonts w:eastAsia="Times New Roman" w:cstheme="minorHAnsi"/>
          <w:color w:val="000000"/>
        </w:rPr>
        <w:t>Όλα τα είδη των έντυπων χαρτιών μπορούν να απορριφθούν στους μπλε κάδους.</w:t>
      </w: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  <w:b/>
          <w:bCs/>
          <w:color w:val="000000"/>
        </w:rPr>
      </w:pP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</w:rPr>
      </w:pPr>
      <w:r w:rsidRPr="00C711E0">
        <w:rPr>
          <w:rFonts w:eastAsia="Times New Roman" w:cstheme="minorHAnsi"/>
          <w:b/>
          <w:bCs/>
          <w:color w:val="000000"/>
        </w:rPr>
        <w:t>Αν ένας κάδος ή καμπάνα ανακύκλωσης χαρτιού καταστραφεί ή μετακινηθεί, που μπορεί να απευθυνθεί ένας πολίτης για να βρει το νέο τόπο τοποθέτησης;</w:t>
      </w:r>
    </w:p>
    <w:p w:rsidR="00ED6E4D" w:rsidRDefault="00ED6E4D" w:rsidP="00C711E0">
      <w:pPr>
        <w:spacing w:after="0"/>
        <w:jc w:val="both"/>
        <w:rPr>
          <w:rFonts w:eastAsia="Times New Roman" w:cstheme="minorHAnsi"/>
          <w:color w:val="000000"/>
        </w:rPr>
      </w:pPr>
    </w:p>
    <w:p w:rsidR="00C711E0" w:rsidRDefault="00C711E0" w:rsidP="00C711E0">
      <w:pPr>
        <w:spacing w:after="0"/>
        <w:jc w:val="both"/>
        <w:rPr>
          <w:rFonts w:eastAsia="Times New Roman" w:cstheme="minorHAnsi"/>
          <w:color w:val="000000"/>
        </w:rPr>
      </w:pPr>
      <w:r w:rsidRPr="00C711E0">
        <w:rPr>
          <w:rFonts w:eastAsia="Times New Roman" w:cstheme="minorHAnsi"/>
          <w:color w:val="000000"/>
        </w:rPr>
        <w:t xml:space="preserve">Η υπηρεσία καθαριότητας του Δήμου </w:t>
      </w:r>
      <w:proofErr w:type="spellStart"/>
      <w:r w:rsidRPr="00C711E0">
        <w:rPr>
          <w:rFonts w:eastAsia="Times New Roman" w:cstheme="minorHAnsi"/>
          <w:color w:val="000000"/>
        </w:rPr>
        <w:t>Λοκρών</w:t>
      </w:r>
      <w:proofErr w:type="spellEnd"/>
      <w:r>
        <w:rPr>
          <w:rFonts w:eastAsia="Times New Roman" w:cstheme="minorHAnsi"/>
          <w:color w:val="000000"/>
        </w:rPr>
        <w:t>,</w:t>
      </w:r>
      <w:r w:rsidRPr="00C711E0">
        <w:rPr>
          <w:rFonts w:eastAsia="Times New Roman" w:cstheme="minorHAnsi"/>
          <w:color w:val="000000"/>
        </w:rPr>
        <w:t xml:space="preserve"> η οποία είναι υπεύθυνη για τη </w:t>
      </w:r>
      <w:proofErr w:type="spellStart"/>
      <w:r w:rsidRPr="00C711E0">
        <w:rPr>
          <w:rFonts w:eastAsia="Times New Roman" w:cstheme="minorHAnsi"/>
          <w:color w:val="000000"/>
        </w:rPr>
        <w:t>χωροθέτηση</w:t>
      </w:r>
      <w:proofErr w:type="spellEnd"/>
      <w:r w:rsidRPr="00C711E0">
        <w:rPr>
          <w:rFonts w:eastAsia="Times New Roman" w:cstheme="minorHAnsi"/>
          <w:color w:val="000000"/>
        </w:rPr>
        <w:t xml:space="preserve"> των κάδων είναι αρμόδια να δώσει κάθε πληροφορία για το πρόγραμμα ανακύκλωσης και την θέση των κάδων.</w:t>
      </w:r>
    </w:p>
    <w:p w:rsidR="00C711E0" w:rsidRPr="00C711E0" w:rsidRDefault="00C711E0" w:rsidP="00C711E0">
      <w:pPr>
        <w:spacing w:after="0"/>
        <w:jc w:val="both"/>
        <w:rPr>
          <w:rFonts w:eastAsia="Times New Roman" w:cstheme="minorHAnsi"/>
        </w:rPr>
      </w:pPr>
    </w:p>
    <w:p w:rsidR="00C711E0" w:rsidRPr="00F9290F" w:rsidRDefault="00C711E0" w:rsidP="00C711E0">
      <w:pPr>
        <w:spacing w:after="0"/>
        <w:jc w:val="both"/>
        <w:rPr>
          <w:rFonts w:eastAsia="Times New Roman" w:cstheme="minorHAnsi"/>
          <w:color w:val="000000"/>
          <w:szCs w:val="27"/>
        </w:rPr>
      </w:pPr>
      <w:r w:rsidRPr="00C711E0">
        <w:rPr>
          <w:rFonts w:eastAsia="Times New Roman" w:cstheme="minorHAnsi"/>
          <w:color w:val="000000"/>
        </w:rPr>
        <w:t xml:space="preserve">Για να επικοινωνήσετε με την αρμόδια υπηρεσία τηλεφωνήστε στο </w:t>
      </w:r>
      <w:r w:rsidR="0073294F">
        <w:rPr>
          <w:rFonts w:eastAsia="Times New Roman" w:cstheme="minorHAnsi"/>
          <w:color w:val="000000"/>
        </w:rPr>
        <w:t xml:space="preserve">τηλέφωνο </w:t>
      </w:r>
      <w:r w:rsidRPr="00C711E0">
        <w:rPr>
          <w:rFonts w:eastAsia="Times New Roman" w:cstheme="minorHAnsi"/>
          <w:color w:val="000000"/>
        </w:rPr>
        <w:t>22330</w:t>
      </w:r>
      <w:r w:rsidR="0073294F">
        <w:rPr>
          <w:rFonts w:eastAsia="Times New Roman" w:cstheme="minorHAnsi"/>
          <w:color w:val="000000"/>
        </w:rPr>
        <w:t xml:space="preserve"> </w:t>
      </w:r>
      <w:r w:rsidRPr="00C711E0">
        <w:rPr>
          <w:rFonts w:eastAsia="Times New Roman" w:cstheme="minorHAnsi"/>
          <w:color w:val="000000"/>
        </w:rPr>
        <w:t>80158</w:t>
      </w:r>
      <w:r w:rsidR="0073294F">
        <w:rPr>
          <w:rFonts w:eastAsia="Times New Roman" w:cstheme="minorHAnsi"/>
          <w:color w:val="000000"/>
          <w:szCs w:val="27"/>
        </w:rPr>
        <w:t xml:space="preserve"> ή στο </w:t>
      </w:r>
      <w:r w:rsidR="0073294F" w:rsidRPr="0073294F">
        <w:rPr>
          <w:rFonts w:eastAsia="Times New Roman" w:cstheme="minorHAnsi"/>
          <w:color w:val="000000"/>
          <w:szCs w:val="27"/>
          <w:lang w:val="en-US"/>
        </w:rPr>
        <w:t>email</w:t>
      </w:r>
      <w:r w:rsidR="0073294F" w:rsidRPr="0073294F">
        <w:rPr>
          <w:rFonts w:eastAsia="Times New Roman" w:cstheme="minorHAnsi"/>
          <w:color w:val="000000"/>
          <w:szCs w:val="27"/>
        </w:rPr>
        <w:t xml:space="preserve">: </w:t>
      </w:r>
      <w:hyperlink r:id="rId18" w:history="1">
        <w:r w:rsidR="00F9290F" w:rsidRPr="003856A9">
          <w:rPr>
            <w:rStyle w:val="-"/>
            <w:rFonts w:eastAsia="Times New Roman" w:cstheme="minorHAnsi"/>
            <w:szCs w:val="27"/>
            <w:lang w:val="en-US"/>
          </w:rPr>
          <w:t>grafeiokiniseos</w:t>
        </w:r>
        <w:r w:rsidR="00F9290F" w:rsidRPr="003856A9">
          <w:rPr>
            <w:rStyle w:val="-"/>
            <w:rFonts w:eastAsia="Times New Roman" w:cstheme="minorHAnsi"/>
            <w:szCs w:val="27"/>
          </w:rPr>
          <w:t>.</w:t>
        </w:r>
        <w:r w:rsidR="00F9290F" w:rsidRPr="003856A9">
          <w:rPr>
            <w:rStyle w:val="-"/>
            <w:rFonts w:eastAsia="Times New Roman" w:cstheme="minorHAnsi"/>
            <w:szCs w:val="27"/>
            <w:lang w:val="en-US"/>
          </w:rPr>
          <w:t>lokron</w:t>
        </w:r>
        <w:r w:rsidR="00F9290F" w:rsidRPr="003856A9">
          <w:rPr>
            <w:rStyle w:val="-"/>
            <w:rFonts w:eastAsia="Times New Roman" w:cstheme="minorHAnsi"/>
            <w:szCs w:val="27"/>
          </w:rPr>
          <w:t>@</w:t>
        </w:r>
        <w:r w:rsidR="00F9290F" w:rsidRPr="003856A9">
          <w:rPr>
            <w:rStyle w:val="-"/>
            <w:rFonts w:eastAsia="Times New Roman" w:cstheme="minorHAnsi"/>
            <w:szCs w:val="27"/>
            <w:lang w:val="en-US"/>
          </w:rPr>
          <w:t>gmail</w:t>
        </w:r>
        <w:r w:rsidR="00F9290F" w:rsidRPr="003856A9">
          <w:rPr>
            <w:rStyle w:val="-"/>
            <w:rFonts w:eastAsia="Times New Roman" w:cstheme="minorHAnsi"/>
            <w:szCs w:val="27"/>
          </w:rPr>
          <w:t>.</w:t>
        </w:r>
        <w:r w:rsidR="00F9290F" w:rsidRPr="003856A9">
          <w:rPr>
            <w:rStyle w:val="-"/>
            <w:rFonts w:eastAsia="Times New Roman" w:cstheme="minorHAnsi"/>
            <w:szCs w:val="27"/>
            <w:lang w:val="en-US"/>
          </w:rPr>
          <w:t>com</w:t>
        </w:r>
      </w:hyperlink>
      <w:r w:rsidR="0073294F">
        <w:rPr>
          <w:rFonts w:eastAsia="Times New Roman" w:cstheme="minorHAnsi"/>
          <w:color w:val="000000"/>
          <w:szCs w:val="27"/>
        </w:rPr>
        <w:t>.</w:t>
      </w:r>
    </w:p>
    <w:p w:rsidR="00F9290F" w:rsidRPr="00007A13" w:rsidRDefault="00F9290F" w:rsidP="00C711E0">
      <w:pPr>
        <w:spacing w:after="0"/>
        <w:jc w:val="both"/>
        <w:rPr>
          <w:rFonts w:eastAsia="Times New Roman" w:cstheme="minorHAnsi"/>
          <w:color w:val="000000"/>
          <w:szCs w:val="27"/>
        </w:rPr>
      </w:pPr>
    </w:p>
    <w:p w:rsidR="00F9290F" w:rsidRPr="00007A13" w:rsidRDefault="00F9290F" w:rsidP="00C711E0">
      <w:pPr>
        <w:spacing w:after="0"/>
        <w:jc w:val="both"/>
        <w:rPr>
          <w:rFonts w:eastAsia="Times New Roman" w:cstheme="minorHAnsi"/>
          <w:color w:val="000000"/>
          <w:szCs w:val="27"/>
        </w:rPr>
      </w:pPr>
    </w:p>
    <w:p w:rsidR="00C711E0" w:rsidRPr="00F9290F" w:rsidRDefault="00F9290F" w:rsidP="00F9290F">
      <w:pPr>
        <w:spacing w:after="0"/>
        <w:jc w:val="center"/>
        <w:rPr>
          <w:rFonts w:eastAsia="Times New Roman" w:cstheme="minorHAnsi"/>
          <w:color w:val="000000"/>
          <w:sz w:val="27"/>
          <w:szCs w:val="27"/>
          <w:lang w:val="en-US"/>
        </w:rPr>
      </w:pPr>
      <w:r w:rsidRPr="00F9290F">
        <w:rPr>
          <w:rFonts w:eastAsia="Times New Roman" w:cstheme="minorHAnsi"/>
          <w:noProof/>
          <w:color w:val="000000"/>
          <w:sz w:val="27"/>
          <w:szCs w:val="27"/>
        </w:rPr>
        <w:drawing>
          <wp:inline distT="0" distB="0" distL="0" distR="0">
            <wp:extent cx="818707" cy="814436"/>
            <wp:effectExtent l="19050" t="0" r="443" b="0"/>
            <wp:docPr id="8" name="Εικόνα 1" descr="https://lh3.googleusercontent.com/x1zQWfXTPafKQp3eVacmBWvqlM15RoCJNoB2x-dXNqPhQmcYIXc-31w0QliFPi6fGxRsiYQmhls1kDz5oE95hg0Wx08XLJGMv9x3pqJXQK_u1tYKUZzYcygqOHWR2aSCjs_Pufs5R8u42jo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1zQWfXTPafKQp3eVacmBWvqlM15RoCJNoB2x-dXNqPhQmcYIXc-31w0QliFPi6fGxRsiYQmhls1kDz5oE95hg0Wx08XLJGMv9x3pqJXQK_u1tYKUZzYcygqOHWR2aSCjs_Pufs5R8u42jov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13" cy="82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66" w:rsidRPr="00410A7E" w:rsidRDefault="00390B66" w:rsidP="00CC29C3">
      <w:pPr>
        <w:jc w:val="center"/>
        <w:rPr>
          <w:rFonts w:cstheme="minorHAnsi"/>
        </w:rPr>
      </w:pPr>
    </w:p>
    <w:p w:rsidR="00390B66" w:rsidRDefault="00390B66" w:rsidP="00410A7E">
      <w:pPr>
        <w:jc w:val="center"/>
      </w:pPr>
    </w:p>
    <w:sectPr w:rsidR="00390B66" w:rsidSect="001807A5">
      <w:footerReference w:type="default" r:id="rId20"/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18" w:rsidRDefault="00C63218" w:rsidP="00C711E0">
      <w:pPr>
        <w:spacing w:after="0" w:line="240" w:lineRule="auto"/>
      </w:pPr>
      <w:r>
        <w:separator/>
      </w:r>
    </w:p>
  </w:endnote>
  <w:endnote w:type="continuationSeparator" w:id="0">
    <w:p w:rsidR="00C63218" w:rsidRDefault="00C63218" w:rsidP="00C7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E0" w:rsidRDefault="00C63218">
    <w:pPr>
      <w:pStyle w:val="a6"/>
    </w:pPr>
    <w:r>
      <w:rPr>
        <w:noProof/>
      </w:rPr>
      <w:pict>
        <v:rect id="Rectangle 1" o:spid="_x0000_s2053" style="position:absolute;margin-left:0;margin-top:0;width:40.25pt;height:65.4pt;rotation:17401620fd;z-index:251660288;visibility:visible;mso-wrap-distance-left:9pt;mso-wrap-distance-top:0;mso-wrap-distance-right:9pt;mso-wrap-distance-bottom:0;mso-position-horizontal:center;mso-position-horizontal-relative:left-margin-area;mso-position-vertical:bottom;mso-position-vertical-relative:margin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" o:allowincell="f" filled="f" stroked="f">
          <v:textbox style="mso-next-textbox:#Rectangle 1">
            <w:txbxContent>
              <w:p w:rsidR="007105E8" w:rsidRDefault="00CC29C3" w:rsidP="00207AF2">
                <w:pPr>
                  <w:jc w:val="center"/>
                  <w:rPr>
                    <w:color w:val="4F81BD" w:themeColor="accent1"/>
                    <w:spacing w:val="60"/>
                  </w:rPr>
                </w:pPr>
                <w:r>
                  <w:rPr>
                    <w:color w:val="4F81BD" w:themeColor="accent1"/>
                    <w:spacing w:val="60"/>
                  </w:rPr>
                  <w:fldChar w:fldCharType="begin"/>
                </w:r>
                <w:r>
                  <w:rPr>
                    <w:color w:val="4F81BD" w:themeColor="accent1"/>
                    <w:spacing w:val="60"/>
                  </w:rPr>
                  <w:instrText xml:space="preserve"> PAGE  \* Arabic  \* MERGEFORMAT </w:instrText>
                </w:r>
                <w:r>
                  <w:rPr>
                    <w:color w:val="4F81BD" w:themeColor="accent1"/>
                    <w:spacing w:val="60"/>
                  </w:rPr>
                  <w:fldChar w:fldCharType="separate"/>
                </w:r>
                <w:r w:rsidR="00007A13">
                  <w:rPr>
                    <w:noProof/>
                    <w:color w:val="4F81BD" w:themeColor="accent1"/>
                    <w:spacing w:val="60"/>
                  </w:rPr>
                  <w:t>1</w:t>
                </w:r>
                <w:r>
                  <w:rPr>
                    <w:color w:val="4F81BD" w:themeColor="accent1"/>
                    <w:spacing w:val="6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group id="Group 2" o:spid="_x0000_s2054" style="position:absolute;margin-left:0;margin-top:0;width:35.65pt;height:23.85pt;rotation:90;z-index:251661312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3" o:spid="_x0000_s205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<v:fill color2="#243f60 [1604]" angle="45" focus="100%" type="gradient"/>
          </v:shape>
          <v:shape id="AutoShape 4" o:spid="_x0000_s2056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<v:fill color2="#243f60 [1604]" angle="45" focus="100%" type="gradient"/>
          </v:shape>
          <v:shape id="AutoShape 5" o:spid="_x0000_s2055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ibMEA&#10;AADbAAAADwAAAGRycy9kb3ducmV2LnhtbERPTWuDQBC9F/IflgnkVlc9SDHZhJCkEAihNHrIcXCn&#10;KnVnxd2q+ffZQqG3ebzP2exm04mRBtdaVpBEMQjiyuqWawVl8f76BsJ5ZI2dZVLwIAe77eJlg7m2&#10;E3/SePO1CCHsclTQeN/nUrqqIYMusj1x4L7sYNAHONRSDziFcNPJNI4zabDl0NBgT4eGqu/bj1FQ&#10;7NMy+0gxSYvjfbq7y8kl15NSq+W8X4PwNPt/8Z/7rMP8BH5/C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4mzBAAAA2wAAAA8AAAAAAAAAAAAAAAAAmAIAAGRycy9kb3du&#10;cmV2LnhtbFBLBQYAAAAABAAEAPUAAACGAwAAAAA=&#10;" adj="7304" fillcolor="#4f81bd [3204]" stroked="f" strokecolor="white [3212]">
            <v:fill color2="#243f60 [1604]" angle="45" focus="100%" type="gradient"/>
          </v:shape>
          <w10:wrap anchorx="margin" anchory="margin"/>
        </v:group>
      </w:pict>
    </w:r>
    <w:r>
      <w:rPr>
        <w:noProof/>
      </w:rPr>
      <w:pict>
        <v:group id="Group 6" o:spid="_x0000_s2049" style="position:absolute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" o:allowincell="f">
          <v:shape id="AutoShape 7" o:spid="_x0000_s2052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s+sMA&#10;AADaAAAADwAAAGRycy9kb3ducmV2LnhtbESPQWvCQBSE74X+h+UVvNVNVgg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s+sMAAADaAAAADwAAAAAAAAAAAAAAAACYAgAAZHJzL2Rv&#10;d25yZXYueG1sUEsFBgAAAAAEAAQA9QAAAIgDAAAAAA==&#10;" adj="7304" fillcolor="#4f81bd [3204]" stroked="f" strokecolor="white [3212]">
            <v:fill color2="#243f60 [1604]" angle="45" focus="100%" type="gradient"/>
          </v:shape>
          <v:shape id="AutoShape 8" o:spid="_x0000_s2051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RFcMA&#10;AADaAAAADwAAAGRycy9kb3ducmV2LnhtbESPQWvCQBSE74X+h+UVvNVNFgw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RFcMAAADaAAAADwAAAAAAAAAAAAAAAACYAgAAZHJzL2Rv&#10;d25yZXYueG1sUEsFBgAAAAAEAAQA9QAAAIgDAAAAAA==&#10;" adj="7304" fillcolor="#4f81bd [3204]" stroked="f" strokecolor="white [3212]">
            <v:fill color2="#243f60 [1604]" angle="45" focus="100%" type="gradient"/>
          </v:shape>
          <v:shape id="AutoShape 9" o:spid="_x0000_s2050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PYsIA&#10;AADaAAAADwAAAGRycy9kb3ducmV2LnhtbESPQYvCMBSE78L+h/AW9qZpeyhSjSLqgiAi2h48Ppq3&#10;bdnmpTRZ2/33RhA8DjPzDbNcj6YVd+pdY1lBPItAEJdWN1wpKPLv6RyE88gaW8uk4J8crFcfkyVm&#10;2g58ofvVVyJA2GWooPa+y6R0ZU0G3cx2xMH7sb1BH2RfSd3jEOCmlUkUpdJgw2Ghxo62NZW/1z+j&#10;IN8kRXpOME7y3W24uePexae9Ul+f42YBwtPo3+FX+6AVpPC8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49iwgAAANoAAAAPAAAAAAAAAAAAAAAAAJgCAABkcnMvZG93&#10;bnJldi54bWxQSwUGAAAAAAQABAD1AAAAhwMAAAAA&#10;" adj="7304" fillcolor="#4f81bd [3204]" stroked="f" strokecolor="white [3212]">
            <v:fill color2="#243f60 [1604]" angle="45" focus="100%" type="gradient"/>
          </v:shape>
          <w10:wrap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18" w:rsidRDefault="00C63218" w:rsidP="00C711E0">
      <w:pPr>
        <w:spacing w:after="0" w:line="240" w:lineRule="auto"/>
      </w:pPr>
      <w:r>
        <w:separator/>
      </w:r>
    </w:p>
  </w:footnote>
  <w:footnote w:type="continuationSeparator" w:id="0">
    <w:p w:rsidR="00C63218" w:rsidRDefault="00C63218" w:rsidP="00C7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4F8"/>
    <w:multiLevelType w:val="multilevel"/>
    <w:tmpl w:val="E23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hdrShapeDefaults>
    <o:shapedefaults v:ext="edit" spidmax="2058">
      <o:colormru v:ext="edit" colors="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013C"/>
    <w:rsid w:val="00007A13"/>
    <w:rsid w:val="000657CD"/>
    <w:rsid w:val="000721A6"/>
    <w:rsid w:val="000813F0"/>
    <w:rsid w:val="000A7ABF"/>
    <w:rsid w:val="000A7F82"/>
    <w:rsid w:val="000B707D"/>
    <w:rsid w:val="000D2C5D"/>
    <w:rsid w:val="00112D44"/>
    <w:rsid w:val="00147FE6"/>
    <w:rsid w:val="00157762"/>
    <w:rsid w:val="001807A5"/>
    <w:rsid w:val="001919B8"/>
    <w:rsid w:val="0019749D"/>
    <w:rsid w:val="00205516"/>
    <w:rsid w:val="00207AF2"/>
    <w:rsid w:val="00226AED"/>
    <w:rsid w:val="002428C6"/>
    <w:rsid w:val="002B5338"/>
    <w:rsid w:val="002D4CAE"/>
    <w:rsid w:val="002F7FBE"/>
    <w:rsid w:val="00312A65"/>
    <w:rsid w:val="00335289"/>
    <w:rsid w:val="00351DC9"/>
    <w:rsid w:val="00364E6D"/>
    <w:rsid w:val="00390B66"/>
    <w:rsid w:val="003B2102"/>
    <w:rsid w:val="0040052D"/>
    <w:rsid w:val="00406E9D"/>
    <w:rsid w:val="00410A7E"/>
    <w:rsid w:val="00423A6A"/>
    <w:rsid w:val="00450349"/>
    <w:rsid w:val="004A7E12"/>
    <w:rsid w:val="00536494"/>
    <w:rsid w:val="005639CB"/>
    <w:rsid w:val="005B761F"/>
    <w:rsid w:val="005C0D86"/>
    <w:rsid w:val="00605C1B"/>
    <w:rsid w:val="007105E8"/>
    <w:rsid w:val="0073294F"/>
    <w:rsid w:val="00836A92"/>
    <w:rsid w:val="008904D5"/>
    <w:rsid w:val="008E700C"/>
    <w:rsid w:val="00910783"/>
    <w:rsid w:val="00940851"/>
    <w:rsid w:val="009615CC"/>
    <w:rsid w:val="00A24669"/>
    <w:rsid w:val="00B23465"/>
    <w:rsid w:val="00B302EB"/>
    <w:rsid w:val="00B5128B"/>
    <w:rsid w:val="00B94AC7"/>
    <w:rsid w:val="00C23871"/>
    <w:rsid w:val="00C63218"/>
    <w:rsid w:val="00C711E0"/>
    <w:rsid w:val="00CC29C3"/>
    <w:rsid w:val="00CD013C"/>
    <w:rsid w:val="00CE0E08"/>
    <w:rsid w:val="00CE4ABB"/>
    <w:rsid w:val="00D01255"/>
    <w:rsid w:val="00D37A09"/>
    <w:rsid w:val="00DC1B5C"/>
    <w:rsid w:val="00DF5E30"/>
    <w:rsid w:val="00ED6E4D"/>
    <w:rsid w:val="00EE65F1"/>
    <w:rsid w:val="00F47636"/>
    <w:rsid w:val="00F56F5A"/>
    <w:rsid w:val="00F90450"/>
    <w:rsid w:val="00F911A2"/>
    <w:rsid w:val="00F9290F"/>
    <w:rsid w:val="00FE621B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7006000451bumpedfont15">
    <w:name w:val="yiv7006000451bumpedfont15"/>
    <w:basedOn w:val="a0"/>
    <w:rsid w:val="000657CD"/>
  </w:style>
  <w:style w:type="paragraph" w:styleId="a3">
    <w:name w:val="Balloon Text"/>
    <w:basedOn w:val="a"/>
    <w:link w:val="Char"/>
    <w:uiPriority w:val="99"/>
    <w:semiHidden/>
    <w:unhideWhenUsed/>
    <w:rsid w:val="0039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0B6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5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C71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711E0"/>
  </w:style>
  <w:style w:type="paragraph" w:styleId="a6">
    <w:name w:val="footer"/>
    <w:basedOn w:val="a"/>
    <w:link w:val="Char1"/>
    <w:uiPriority w:val="99"/>
    <w:unhideWhenUsed/>
    <w:rsid w:val="00C71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711E0"/>
  </w:style>
  <w:style w:type="character" w:styleId="-">
    <w:name w:val="Hyperlink"/>
    <w:basedOn w:val="a0"/>
    <w:uiPriority w:val="99"/>
    <w:unhideWhenUsed/>
    <w:rsid w:val="00F92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7006000451bumpedfont15">
    <w:name w:val="yiv7006000451bumpedfont15"/>
    <w:basedOn w:val="a0"/>
    <w:rsid w:val="000657CD"/>
  </w:style>
  <w:style w:type="paragraph" w:styleId="a3">
    <w:name w:val="Balloon Text"/>
    <w:basedOn w:val="a"/>
    <w:link w:val="Char"/>
    <w:uiPriority w:val="99"/>
    <w:semiHidden/>
    <w:unhideWhenUsed/>
    <w:rsid w:val="0039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0B6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5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C71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711E0"/>
  </w:style>
  <w:style w:type="paragraph" w:styleId="a6">
    <w:name w:val="footer"/>
    <w:basedOn w:val="a"/>
    <w:link w:val="Char1"/>
    <w:uiPriority w:val="99"/>
    <w:unhideWhenUsed/>
    <w:rsid w:val="00C71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7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mailto:grafeiokiniseos.lokron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2.emf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SXETA\Sabrina\Dimos%20Lokron\&#913;&#957;&#945;&#954;&#973;&#954;&#955;&#969;&#963;&#951;\&#913;&#957;&#945;&#954;&#973;&#954;&#955;&#969;&#963;&#95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SXETA\Sabrina\Dimos%20Lokron\&#913;&#957;&#945;&#954;&#973;&#954;&#955;&#969;&#963;&#951;\&#913;&#957;&#945;&#954;&#973;&#954;&#955;&#969;&#963;&#95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SXETA\Sabrina\Dimos%20Lokron\&#913;&#957;&#945;&#954;&#973;&#954;&#955;&#969;&#963;&#951;\&#913;&#957;&#945;&#954;&#973;&#954;&#955;&#969;&#963;&#95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SXETA\Sabrina\Dimos%20Lokron\&#913;&#957;&#945;&#954;&#973;&#954;&#955;&#969;&#963;&#951;\&#913;&#957;&#945;&#954;&#973;&#954;&#955;&#969;&#963;&#95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SXETA\Sabrina\Dimos%20Lokron\&#913;&#957;&#945;&#954;&#973;&#954;&#955;&#969;&#963;&#951;\&#913;&#957;&#945;&#954;&#973;&#954;&#955;&#969;&#963;&#95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SXETA\Sabrina\Dimos%20Lokron\&#913;&#957;&#945;&#954;&#973;&#954;&#955;&#969;&#963;&#951;\&#913;&#957;&#945;&#954;&#973;&#954;&#955;&#969;&#963;&#95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 sz="800">
                <a:solidFill>
                  <a:sysClr val="windowText" lastClr="000000"/>
                </a:solidFill>
              </a:defRPr>
            </a:pPr>
            <a:r>
              <a:rPr lang="el-GR" sz="800">
                <a:solidFill>
                  <a:sysClr val="windowText" lastClr="000000"/>
                </a:solidFill>
              </a:rPr>
              <a:t>2016</a:t>
            </a:r>
          </a:p>
        </c:rich>
      </c:tx>
      <c:layout>
        <c:manualLayout>
          <c:xMode val="edge"/>
          <c:yMode val="edge"/>
          <c:x val="0.40769881184206941"/>
          <c:y val="5.092592592592593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97222222222242E-2"/>
          <c:y val="8.6425784958268026E-2"/>
          <c:w val="0.85179305555555573"/>
          <c:h val="0.91357421504173197"/>
        </c:manualLayout>
      </c:layout>
      <c:pie3DChart>
        <c:varyColors val="1"/>
        <c:ser>
          <c:idx val="1"/>
          <c:order val="1"/>
          <c:spPr>
            <a:solidFill>
              <a:srgbClr val="00B050"/>
            </a:solidFill>
          </c:spPr>
          <c:explosion val="25"/>
          <c:dPt>
            <c:idx val="0"/>
            <c:bubble3D val="0"/>
            <c:explosion val="38"/>
            <c:spPr>
              <a:solidFill>
                <a:srgbClr val="465FCA"/>
              </a:solidFill>
            </c:spPr>
          </c:dPt>
          <c:dPt>
            <c:idx val="1"/>
            <c:bubble3D val="0"/>
            <c:explosion val="8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1.4318443839379854E-2"/>
                  <c:y val="-9.8364627498485815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el-G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2997430555555556"/>
                  <c:y val="-0.256026050935688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el-G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Total!$C$4:$D$4</c:f>
              <c:strCache>
                <c:ptCount val="2"/>
                <c:pt idx="0">
                  <c:v>Ανακύκλωση</c:v>
                </c:pt>
                <c:pt idx="1">
                  <c:v>Απόβλητα</c:v>
                </c:pt>
              </c:strCache>
            </c:strRef>
          </c:cat>
          <c:val>
            <c:numRef>
              <c:f>Total!$C$5:$D$5</c:f>
              <c:numCache>
                <c:formatCode>#,##0.00</c:formatCode>
                <c:ptCount val="2"/>
                <c:pt idx="0" formatCode="General">
                  <c:v>642.48</c:v>
                </c:pt>
                <c:pt idx="1">
                  <c:v>6720.74</c:v>
                </c:pt>
              </c:numCache>
            </c:numRef>
          </c:val>
        </c:ser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Total!$I$4:$J$4</c:f>
              <c:strCache>
                <c:ptCount val="2"/>
                <c:pt idx="0">
                  <c:v>Ανακύκλωση</c:v>
                </c:pt>
                <c:pt idx="1">
                  <c:v>Απόβλητα</c:v>
                </c:pt>
              </c:strCache>
            </c:strRef>
          </c:cat>
          <c:val>
            <c:numRef>
              <c:f>Total!$I$5:$J$5</c:f>
              <c:numCache>
                <c:formatCode>#,##0.00</c:formatCode>
                <c:ptCount val="2"/>
                <c:pt idx="0" formatCode="General">
                  <c:v>494.01</c:v>
                </c:pt>
                <c:pt idx="1">
                  <c:v>7288.57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10814305555555556"/>
          <c:y val="0.81118809717289286"/>
          <c:w val="0.75893868406636089"/>
          <c:h val="0.1337304782603532"/>
        </c:manualLayout>
      </c:layout>
      <c:overlay val="0"/>
      <c:txPr>
        <a:bodyPr/>
        <a:lstStyle/>
        <a:p>
          <a:pPr rtl="0">
            <a:defRPr sz="700">
              <a:solidFill>
                <a:sysClr val="windowText" lastClr="000000"/>
              </a:solidFill>
            </a:defRPr>
          </a:pPr>
          <a:endParaRPr lang="el-GR"/>
        </a:p>
      </c:txPr>
    </c:legend>
    <c:plotVisOnly val="1"/>
    <c:dispBlanksAs val="zero"/>
    <c:showDLblsOverMax val="0"/>
  </c:chart>
  <c:spPr>
    <a:solidFill>
      <a:schemeClr val="bg1">
        <a:lumMod val="75000"/>
      </a:schemeClr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800">
                <a:solidFill>
                  <a:sysClr val="windowText" lastClr="000000"/>
                </a:solidFill>
              </a:defRPr>
            </a:pPr>
            <a:r>
              <a:rPr lang="el-GR" sz="800">
                <a:solidFill>
                  <a:sysClr val="windowText" lastClr="000000"/>
                </a:solidFill>
              </a:rPr>
              <a:t>2017</a:t>
            </a:r>
          </a:p>
        </c:rich>
      </c:tx>
      <c:layout>
        <c:manualLayout>
          <c:xMode val="edge"/>
          <c:yMode val="edge"/>
          <c:x val="0.37733333333333335"/>
          <c:y val="6.018518518518514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71180555555556"/>
          <c:y val="0.12118854910578039"/>
          <c:w val="0.72918680555555571"/>
          <c:h val="0.7740491433788755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465FCA"/>
              </a:solidFill>
            </c:spPr>
          </c:dPt>
          <c:dPt>
            <c:idx val="1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2.134841269841271E-2"/>
                  <c:y val="-1.6321079130909504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el-G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700">
                    <a:solidFill>
                      <a:schemeClr val="bg1">
                        <a:lumMod val="85000"/>
                      </a:schemeClr>
                    </a:solidFill>
                  </a:defRPr>
                </a:pPr>
                <a:endParaRPr lang="el-G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Total!$L$4:$M$4</c:f>
              <c:strCache>
                <c:ptCount val="2"/>
                <c:pt idx="0">
                  <c:v>Ανακύκλωση</c:v>
                </c:pt>
                <c:pt idx="1">
                  <c:v>Απόβλητα</c:v>
                </c:pt>
              </c:strCache>
            </c:strRef>
          </c:cat>
          <c:val>
            <c:numRef>
              <c:f>Total!$L$5:$M$5</c:f>
              <c:numCache>
                <c:formatCode>#,##0.00</c:formatCode>
                <c:ptCount val="2"/>
                <c:pt idx="0" formatCode="General">
                  <c:v>525.67999999999995</c:v>
                </c:pt>
                <c:pt idx="1">
                  <c:v>7183.4699999999993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3.9818940665203958E-2"/>
          <c:y val="0.81545162668620064"/>
          <c:w val="0.89307344778623687"/>
          <c:h val="9.5538057742782248E-2"/>
        </c:manualLayout>
      </c:layout>
      <c:overlay val="0"/>
      <c:txPr>
        <a:bodyPr/>
        <a:lstStyle/>
        <a:p>
          <a:pPr>
            <a:defRPr sz="700">
              <a:solidFill>
                <a:sysClr val="windowText" lastClr="000000"/>
              </a:solidFill>
            </a:defRPr>
          </a:pPr>
          <a:endParaRPr lang="el-GR"/>
        </a:p>
      </c:txPr>
    </c:legend>
    <c:plotVisOnly val="1"/>
    <c:dispBlanksAs val="zero"/>
    <c:showDLblsOverMax val="0"/>
  </c:chart>
  <c:spPr>
    <a:solidFill>
      <a:schemeClr val="bg1">
        <a:lumMod val="75000"/>
      </a:schemeClr>
    </a:solidFill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 sz="800">
                <a:solidFill>
                  <a:sysClr val="windowText" lastClr="000000"/>
                </a:solidFill>
              </a:defRPr>
            </a:pPr>
            <a:r>
              <a:rPr lang="el-GR" sz="800">
                <a:solidFill>
                  <a:sysClr val="windowText" lastClr="000000"/>
                </a:solidFill>
              </a:rPr>
              <a:t>2018</a:t>
            </a:r>
          </a:p>
        </c:rich>
      </c:tx>
      <c:layout>
        <c:manualLayout>
          <c:xMode val="edge"/>
          <c:yMode val="edge"/>
          <c:x val="0.40769881184206924"/>
          <c:y val="5.092592592592592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174010843553286E-2"/>
          <c:y val="0"/>
          <c:w val="0.8571533185583935"/>
          <c:h val="1"/>
        </c:manualLayout>
      </c:layout>
      <c:pie3DChart>
        <c:varyColors val="1"/>
        <c:ser>
          <c:idx val="2"/>
          <c:order val="2"/>
          <c:spPr>
            <a:solidFill>
              <a:srgbClr val="00B050"/>
            </a:solidFill>
          </c:spPr>
          <c:explosion val="42"/>
          <c:dPt>
            <c:idx val="0"/>
            <c:bubble3D val="0"/>
            <c:explosion val="15"/>
            <c:spPr>
              <a:solidFill>
                <a:srgbClr val="465FCA"/>
              </a:solidFill>
            </c:spPr>
          </c:dPt>
          <c:dPt>
            <c:idx val="1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2.2467887528082892E-2"/>
                  <c:y val="-1.7414728941901762E-2"/>
                </c:manualLayout>
              </c:layout>
              <c:spPr/>
              <c:txPr>
                <a:bodyPr/>
                <a:lstStyle/>
                <a:p>
                  <a:pPr>
                    <a:defRPr sz="700" b="1">
                      <a:solidFill>
                        <a:sysClr val="windowText" lastClr="000000"/>
                      </a:solidFill>
                    </a:defRPr>
                  </a:pPr>
                  <a:endParaRPr lang="el-G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700" b="1">
                      <a:solidFill>
                        <a:schemeClr val="bg1"/>
                      </a:solidFill>
                    </a:defRPr>
                  </a:pPr>
                  <a:endParaRPr lang="el-G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rgbClr val="465FCA"/>
                    </a:solidFill>
                  </a:defRPr>
                </a:pPr>
                <a:endParaRPr lang="el-G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Total!$I$4:$J$4</c:f>
              <c:strCache>
                <c:ptCount val="2"/>
                <c:pt idx="0">
                  <c:v>Ανακύκλωση</c:v>
                </c:pt>
                <c:pt idx="1">
                  <c:v>Απόβλητα</c:v>
                </c:pt>
              </c:strCache>
            </c:strRef>
          </c:cat>
          <c:val>
            <c:numRef>
              <c:f>Total!$I$5:$J$5</c:f>
              <c:numCache>
                <c:formatCode>#,##0.00</c:formatCode>
                <c:ptCount val="2"/>
                <c:pt idx="0" formatCode="General">
                  <c:v>494.01</c:v>
                </c:pt>
                <c:pt idx="1">
                  <c:v>7288.57</c:v>
                </c:pt>
              </c:numCache>
            </c:numRef>
          </c:val>
        </c:ser>
        <c:ser>
          <c:idx val="3"/>
          <c:order val="3"/>
          <c:cat>
            <c:strRef>
              <c:f>Total!$I$4:$J$4</c:f>
              <c:strCache>
                <c:ptCount val="2"/>
                <c:pt idx="0">
                  <c:v>Ανακύκλωση</c:v>
                </c:pt>
                <c:pt idx="1">
                  <c:v>Απόβλητα</c:v>
                </c:pt>
              </c:strCache>
            </c:strRef>
          </c:cat>
          <c:val>
            <c:numRef>
              <c:f>Total!$I$5:$J$5</c:f>
              <c:numCache>
                <c:formatCode>#,##0.00</c:formatCode>
                <c:ptCount val="2"/>
                <c:pt idx="0" formatCode="General">
                  <c:v>494.01</c:v>
                </c:pt>
                <c:pt idx="1">
                  <c:v>7288.57</c:v>
                </c:pt>
              </c:numCache>
            </c:numRef>
          </c:val>
        </c:ser>
        <c:ser>
          <c:idx val="1"/>
          <c:order val="1"/>
          <c:spPr>
            <a:solidFill>
              <a:srgbClr val="00B050"/>
            </a:solidFill>
          </c:spPr>
          <c:explosion val="25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Total!$I$4:$J$4</c:f>
              <c:strCache>
                <c:ptCount val="2"/>
                <c:pt idx="0">
                  <c:v>Ανακύκλωση</c:v>
                </c:pt>
                <c:pt idx="1">
                  <c:v>Απόβλητα</c:v>
                </c:pt>
              </c:strCache>
            </c:strRef>
          </c:cat>
          <c:val>
            <c:numRef>
              <c:f>Total!$I$5:$J$5</c:f>
              <c:numCache>
                <c:formatCode>#,##0.00</c:formatCode>
                <c:ptCount val="2"/>
                <c:pt idx="0" formatCode="General">
                  <c:v>494.01</c:v>
                </c:pt>
                <c:pt idx="1">
                  <c:v>7288.57</c:v>
                </c:pt>
              </c:numCache>
            </c:numRef>
          </c:val>
        </c:ser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Total!$I$4:$J$4</c:f>
              <c:strCache>
                <c:ptCount val="2"/>
                <c:pt idx="0">
                  <c:v>Ανακύκλωση</c:v>
                </c:pt>
                <c:pt idx="1">
                  <c:v>Απόβλητα</c:v>
                </c:pt>
              </c:strCache>
            </c:strRef>
          </c:cat>
          <c:val>
            <c:numRef>
              <c:f>Total!$I$5:$J$5</c:f>
              <c:numCache>
                <c:formatCode>#,##0.00</c:formatCode>
                <c:ptCount val="2"/>
                <c:pt idx="0" formatCode="General">
                  <c:v>494.01</c:v>
                </c:pt>
                <c:pt idx="1">
                  <c:v>7288.57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8.3487064116985393E-2"/>
          <c:y val="0.82375107317192864"/>
          <c:w val="0.81261683198691059"/>
          <c:h val="9.4491132533667047E-2"/>
        </c:manualLayout>
      </c:layout>
      <c:overlay val="0"/>
      <c:txPr>
        <a:bodyPr/>
        <a:lstStyle/>
        <a:p>
          <a:pPr rtl="0">
            <a:defRPr sz="700">
              <a:solidFill>
                <a:sysClr val="windowText" lastClr="000000"/>
              </a:solidFill>
            </a:defRPr>
          </a:pPr>
          <a:endParaRPr lang="el-GR"/>
        </a:p>
      </c:txPr>
    </c:legend>
    <c:plotVisOnly val="1"/>
    <c:dispBlanksAs val="zero"/>
    <c:showDLblsOverMax val="0"/>
  </c:chart>
  <c:spPr>
    <a:solidFill>
      <a:schemeClr val="bg1">
        <a:lumMod val="75000"/>
      </a:schemeClr>
    </a:solidFill>
    <a:ln>
      <a:noFill/>
    </a:ln>
  </c:spPr>
  <c:txPr>
    <a:bodyPr/>
    <a:lstStyle/>
    <a:p>
      <a:pPr>
        <a:defRPr>
          <a:solidFill>
            <a:schemeClr val="bg1">
              <a:lumMod val="95000"/>
            </a:schemeClr>
          </a:solidFill>
        </a:defRPr>
      </a:pPr>
      <a:endParaRPr lang="el-G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l-GR" sz="800"/>
              <a:t>2019</a:t>
            </a:r>
          </a:p>
        </c:rich>
      </c:tx>
      <c:layout>
        <c:manualLayout>
          <c:xMode val="edge"/>
          <c:yMode val="edge"/>
          <c:x val="0.40769881184206952"/>
          <c:y val="5.092592592592592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55208135433974"/>
          <c:y val="6.4443602693602692E-2"/>
          <c:w val="0.72379179202691546"/>
          <c:h val="0.86281902356902351"/>
        </c:manualLayout>
      </c:layout>
      <c:pie3DChart>
        <c:varyColors val="1"/>
        <c:ser>
          <c:idx val="1"/>
          <c:order val="1"/>
          <c:spPr>
            <a:solidFill>
              <a:srgbClr val="00B050"/>
            </a:solidFill>
          </c:spPr>
          <c:explosion val="25"/>
          <c:dPt>
            <c:idx val="0"/>
            <c:bubble3D val="0"/>
            <c:spPr>
              <a:solidFill>
                <a:srgbClr val="465FCA"/>
              </a:solidFill>
            </c:spPr>
          </c:dPt>
          <c:dPt>
            <c:idx val="1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3.6432816549299099E-2"/>
                  <c:y val="-9.695101521141870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700">
                      <a:solidFill>
                        <a:schemeClr val="bg1"/>
                      </a:solidFill>
                    </a:defRPr>
                  </a:pPr>
                  <a:endParaRPr lang="el-G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el-G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Total!$L$4:$M$4</c:f>
              <c:strCache>
                <c:ptCount val="2"/>
                <c:pt idx="0">
                  <c:v>Ανακύκλωση</c:v>
                </c:pt>
                <c:pt idx="1">
                  <c:v>Απόβλητα</c:v>
                </c:pt>
              </c:strCache>
            </c:strRef>
          </c:cat>
          <c:val>
            <c:numRef>
              <c:f>Total!$L$5:$M$5</c:f>
              <c:numCache>
                <c:formatCode>#,##0.00</c:formatCode>
                <c:ptCount val="2"/>
                <c:pt idx="0" formatCode="General">
                  <c:v>525.67999999999995</c:v>
                </c:pt>
                <c:pt idx="1">
                  <c:v>7183.4699999999993</c:v>
                </c:pt>
              </c:numCache>
            </c:numRef>
          </c:val>
        </c:ser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Total!$I$4:$J$4</c:f>
              <c:strCache>
                <c:ptCount val="2"/>
                <c:pt idx="0">
                  <c:v>Ανακύκλωση</c:v>
                </c:pt>
                <c:pt idx="1">
                  <c:v>Απόβλητα</c:v>
                </c:pt>
              </c:strCache>
            </c:strRef>
          </c:cat>
          <c:val>
            <c:numRef>
              <c:f>Total!$I$5:$J$5</c:f>
              <c:numCache>
                <c:formatCode>#,##0.00</c:formatCode>
                <c:ptCount val="2"/>
                <c:pt idx="0" formatCode="General">
                  <c:v>494.01</c:v>
                </c:pt>
                <c:pt idx="1">
                  <c:v>7288.57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6.7213484572791915E-2"/>
          <c:y val="0.79595363010901365"/>
          <c:w val="0.73469475406483631"/>
          <c:h val="0.16302695807883827"/>
        </c:manualLayout>
      </c:layout>
      <c:overlay val="0"/>
      <c:txPr>
        <a:bodyPr/>
        <a:lstStyle/>
        <a:p>
          <a:pPr rtl="0">
            <a:defRPr sz="700"/>
          </a:pPr>
          <a:endParaRPr lang="el-GR"/>
        </a:p>
      </c:txPr>
    </c:legend>
    <c:plotVisOnly val="1"/>
    <c:dispBlanksAs val="zero"/>
    <c:showDLblsOverMax val="0"/>
  </c:chart>
  <c:spPr>
    <a:solidFill>
      <a:schemeClr val="bg1">
        <a:lumMod val="75000"/>
      </a:schemeClr>
    </a:solidFill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l-GR" sz="800"/>
              <a:t>Σύνολο Στερεών</a:t>
            </a:r>
            <a:r>
              <a:rPr lang="el-GR" sz="800" baseline="0"/>
              <a:t> </a:t>
            </a:r>
            <a:r>
              <a:rPr lang="el-GR" sz="800"/>
              <a:t>Αποβλήτων</a:t>
            </a:r>
          </a:p>
          <a:p>
            <a:pPr>
              <a:defRPr sz="700"/>
            </a:pPr>
            <a:r>
              <a:rPr lang="el-GR" sz="600"/>
              <a:t>(τόνοι)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512093495934961"/>
          <c:y val="0.2218492833747169"/>
          <c:w val="0.80845934959349597"/>
          <c:h val="0.5489260515367608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Total!$B$43</c:f>
              <c:strCache>
                <c:ptCount val="1"/>
                <c:pt idx="0">
                  <c:v>Σύνολο (Ανακύκλωση + Απόβλητα)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 w="19050"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numFmt formatCode="#,##0;\-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solidFill>
                      <a:srgbClr val="FFFFFF"/>
                    </a:solidFill>
                  </a:defRPr>
                </a:pPr>
                <a:endParaRPr lang="el-G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Total!$C$28:$F$28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Total!$C$43:$F$43</c:f>
              <c:numCache>
                <c:formatCode>#,##0.00</c:formatCode>
                <c:ptCount val="4"/>
                <c:pt idx="0">
                  <c:v>7363.2199999999993</c:v>
                </c:pt>
                <c:pt idx="1">
                  <c:v>8195.6400000000012</c:v>
                </c:pt>
                <c:pt idx="2">
                  <c:v>7782.58</c:v>
                </c:pt>
                <c:pt idx="3">
                  <c:v>7709.1500000000005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17-4409-9EC2-81DF10C7A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63642624"/>
        <c:axId val="63652608"/>
      </c:barChart>
      <c:lineChart>
        <c:grouping val="standard"/>
        <c:varyColors val="0"/>
        <c:ser>
          <c:idx val="0"/>
          <c:order val="0"/>
          <c:tx>
            <c:strRef>
              <c:f>Total!$B$46</c:f>
              <c:strCache>
                <c:ptCount val="1"/>
                <c:pt idx="0">
                  <c:v>% Ανακύκλωσης</c:v>
                </c:pt>
              </c:strCache>
            </c:strRef>
          </c:tx>
          <c:spPr>
            <a:ln>
              <a:solidFill>
                <a:srgbClr val="465FCA"/>
              </a:solidFill>
            </a:ln>
          </c:spPr>
          <c:marker>
            <c:symbol val="diamond"/>
            <c:size val="5"/>
            <c:spPr>
              <a:solidFill>
                <a:srgbClr val="465FCA"/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8.1152875218099163E-2"/>
                  <c:y val="-8.89427909418512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17-4409-9EC2-81DF10C7A94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963441998315757E-2"/>
                  <c:y val="-0.10347222142447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 b="0">
                      <a:solidFill>
                        <a:schemeClr val="bg1"/>
                      </a:solidFill>
                    </a:defRPr>
                  </a:pPr>
                  <a:endParaRPr lang="el-GR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8435403693595173E-2"/>
                  <c:y val="-7.7778632960716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/>
                </a:pPr>
                <a:endParaRPr lang="el-G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Total!$C$28:$F$28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Total!$C$46:$F$46</c:f>
              <c:numCache>
                <c:formatCode>0.0%</c:formatCode>
                <c:ptCount val="4"/>
                <c:pt idx="0">
                  <c:v>8.7255304065340988E-2</c:v>
                </c:pt>
                <c:pt idx="1">
                  <c:v>5.9243695428300894E-2</c:v>
                </c:pt>
                <c:pt idx="2">
                  <c:v>6.3476379298381763E-2</c:v>
                </c:pt>
                <c:pt idx="3">
                  <c:v>6.8189099965625249E-2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E17-4409-9EC2-81DF10C7A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655936"/>
        <c:axId val="63654144"/>
      </c:lineChart>
      <c:catAx>
        <c:axId val="6364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700" b="1">
                <a:solidFill>
                  <a:srgbClr val="000000"/>
                </a:solidFill>
              </a:defRPr>
            </a:pPr>
            <a:endParaRPr lang="el-GR"/>
          </a:p>
        </c:txPr>
        <c:crossAx val="63652608"/>
        <c:crosses val="autoZero"/>
        <c:auto val="1"/>
        <c:lblAlgn val="ctr"/>
        <c:lblOffset val="100"/>
        <c:noMultiLvlLbl val="0"/>
      </c:catAx>
      <c:valAx>
        <c:axId val="63652608"/>
        <c:scaling>
          <c:orientation val="minMax"/>
        </c:scaling>
        <c:delete val="0"/>
        <c:axPos val="l"/>
        <c:numFmt formatCode="#,##0;\-#,##0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700" b="0">
                <a:solidFill>
                  <a:schemeClr val="tx1"/>
                </a:solidFill>
              </a:defRPr>
            </a:pPr>
            <a:endParaRPr lang="el-GR"/>
          </a:p>
        </c:txPr>
        <c:crossAx val="63642624"/>
        <c:crosses val="autoZero"/>
        <c:crossBetween val="between"/>
      </c:valAx>
      <c:valAx>
        <c:axId val="63654144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00" b="0">
                <a:solidFill>
                  <a:schemeClr val="bg1">
                    <a:lumMod val="75000"/>
                  </a:schemeClr>
                </a:solidFill>
              </a:defRPr>
            </a:pPr>
            <a:endParaRPr lang="el-GR"/>
          </a:p>
        </c:txPr>
        <c:crossAx val="63655936"/>
        <c:crosses val="max"/>
        <c:crossBetween val="between"/>
      </c:valAx>
      <c:catAx>
        <c:axId val="636559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3654144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700" b="0">
              <a:solidFill>
                <a:srgbClr val="000000"/>
              </a:solidFill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>
      <a:noFill/>
    </a:ln>
  </c:spPr>
  <c:txPr>
    <a:bodyPr/>
    <a:lstStyle/>
    <a:p>
      <a:pPr>
        <a:defRPr sz="800">
          <a:latin typeface="+mn-lt"/>
          <a:cs typeface="Arial"/>
        </a:defRPr>
      </a:pPr>
      <a:endParaRPr lang="el-G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l-GR" sz="800"/>
              <a:t>Ανακύκλωση</a:t>
            </a:r>
            <a:r>
              <a:rPr lang="el-GR" sz="1000" baseline="0"/>
              <a:t> </a:t>
            </a:r>
          </a:p>
          <a:p>
            <a:pPr>
              <a:defRPr sz="800"/>
            </a:pPr>
            <a:r>
              <a:rPr lang="el-GR" sz="600" baseline="0"/>
              <a:t>(τόνοι)</a:t>
            </a:r>
            <a:endParaRPr lang="el-GR" sz="6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35951583853923"/>
          <c:y val="0.22184937885495784"/>
          <c:w val="0.81516185811586461"/>
          <c:h val="0.5489260515367608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Total!$B$29</c:f>
              <c:strCache>
                <c:ptCount val="1"/>
                <c:pt idx="0">
                  <c:v>Ανακύκλωση</c:v>
                </c:pt>
              </c:strCache>
            </c:strRef>
          </c:tx>
          <c:spPr>
            <a:solidFill>
              <a:srgbClr val="465FCA"/>
            </a:solidFill>
            <a:ln w="19050"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1.2906504065040651E-2"/>
                  <c:y val="0.291419073657448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solidFill>
                      <a:srgbClr val="FFFFFF"/>
                    </a:solidFill>
                  </a:defRPr>
                </a:pPr>
                <a:endParaRPr lang="el-G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Total!$C$28:$F$28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Total!$C$29:$F$29</c:f>
              <c:numCache>
                <c:formatCode>General</c:formatCode>
                <c:ptCount val="4"/>
                <c:pt idx="0">
                  <c:v>642.48</c:v>
                </c:pt>
                <c:pt idx="1">
                  <c:v>485.54</c:v>
                </c:pt>
                <c:pt idx="2">
                  <c:v>494.01</c:v>
                </c:pt>
                <c:pt idx="3">
                  <c:v>525.67999999999995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17-4409-9EC2-81DF10C7A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63697280"/>
        <c:axId val="63698816"/>
      </c:barChart>
      <c:lineChart>
        <c:grouping val="standard"/>
        <c:varyColors val="0"/>
        <c:ser>
          <c:idx val="0"/>
          <c:order val="0"/>
          <c:tx>
            <c:strRef>
              <c:f>Total!$B$37</c:f>
              <c:strCache>
                <c:ptCount val="1"/>
                <c:pt idx="0">
                  <c:v>% Υπολείμματος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diamond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8.0139905149051491E-2"/>
                  <c:y val="-0.118120781670887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 b="0">
                      <a:solidFill>
                        <a:sysClr val="windowText" lastClr="000000"/>
                      </a:solidFill>
                    </a:defRPr>
                  </a:pPr>
                  <a:endParaRPr lang="el-GR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17-4409-9EC2-81DF10C7A94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474593495934959E-2"/>
                  <c:y val="-8.158866435972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/>
                </a:pPr>
                <a:endParaRPr lang="el-G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Total!$C$28:$F$28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Total!$C$37:$F$37</c:f>
              <c:numCache>
                <c:formatCode>0.0%</c:formatCode>
                <c:ptCount val="4"/>
                <c:pt idx="0">
                  <c:v>0.35640019922799149</c:v>
                </c:pt>
                <c:pt idx="1">
                  <c:v>0.33301066853400335</c:v>
                </c:pt>
                <c:pt idx="2">
                  <c:v>0.36659176939738064</c:v>
                </c:pt>
                <c:pt idx="3">
                  <c:v>0.36265408613605238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E17-4409-9EC2-81DF10C7A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837312"/>
        <c:axId val="63700352"/>
      </c:lineChart>
      <c:catAx>
        <c:axId val="6369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700" b="1">
                <a:solidFill>
                  <a:srgbClr val="000000"/>
                </a:solidFill>
              </a:defRPr>
            </a:pPr>
            <a:endParaRPr lang="el-GR"/>
          </a:p>
        </c:txPr>
        <c:crossAx val="63698816"/>
        <c:crosses val="autoZero"/>
        <c:auto val="1"/>
        <c:lblAlgn val="ctr"/>
        <c:lblOffset val="100"/>
        <c:noMultiLvlLbl val="0"/>
      </c:catAx>
      <c:valAx>
        <c:axId val="63698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700" b="0">
                <a:solidFill>
                  <a:schemeClr val="tx1"/>
                </a:solidFill>
              </a:defRPr>
            </a:pPr>
            <a:endParaRPr lang="el-GR"/>
          </a:p>
        </c:txPr>
        <c:crossAx val="63697280"/>
        <c:crosses val="autoZero"/>
        <c:crossBetween val="between"/>
      </c:valAx>
      <c:valAx>
        <c:axId val="63700352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00" b="0">
                <a:solidFill>
                  <a:schemeClr val="bg1">
                    <a:lumMod val="75000"/>
                  </a:schemeClr>
                </a:solidFill>
              </a:defRPr>
            </a:pPr>
            <a:endParaRPr lang="el-GR"/>
          </a:p>
        </c:txPr>
        <c:crossAx val="63837312"/>
        <c:crosses val="max"/>
        <c:crossBetween val="between"/>
      </c:valAx>
      <c:catAx>
        <c:axId val="63837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3700352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700" b="0">
              <a:solidFill>
                <a:srgbClr val="000000"/>
              </a:solidFill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>
      <a:noFill/>
    </a:ln>
  </c:spPr>
  <c:txPr>
    <a:bodyPr/>
    <a:lstStyle/>
    <a:p>
      <a:pPr algn="just">
        <a:defRPr sz="800">
          <a:latin typeface="+mn-lt"/>
          <a:cs typeface="Arial"/>
        </a:defRPr>
      </a:pPr>
      <a:endParaRPr lang="el-G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24</cp:revision>
  <dcterms:created xsi:type="dcterms:W3CDTF">2020-02-24T08:44:00Z</dcterms:created>
  <dcterms:modified xsi:type="dcterms:W3CDTF">2020-02-24T11:06:00Z</dcterms:modified>
</cp:coreProperties>
</file>